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Bdr>
          <w:top w:val="single" w:color="4472C4" w:sz="2"/>
          <w:bottom w:val="single" w:color="4472C4" w:sz="2"/>
        </w:pBdr>
        <w:spacing w:after="200" w:line="360"/>
        <w:jc w:val="both"/>
      </w:pPr>
      <w:r>
        <w:rPr>
          <w:rFonts w:ascii="Times New Roman" w:cs="Times New Roman" w:eastAsia="Times New Roman" w:hAnsi="Times New Roman"/>
          <w:b/>
          <w:bCs/>
          <w:sz w:val="24"/>
          <w:szCs w:val="24"/>
        </w:rPr>
        <w:t xml:space="preserve">Positioning statement. </w:t>
      </w:r>
      <w:r>
        <w:rPr>
          <w:rFonts w:ascii="Times New Roman" w:cs="Times New Roman" w:eastAsia="Times New Roman" w:hAnsi="Times New Roman"/>
          <w:sz w:val="24"/>
          <w:szCs w:val="24"/>
        </w:rPr>
        <w:t xml:space="preserve">This paper does not argue that vitamin C is an established treatment for borderline personality disorder. It presents a mechanistically grounded but clinically unproven hypothesis and proposes a specific pilot trial to test it. The paper is meant as an invitation to empirical examination, not as a claim that efficacy is already known.</w:t>
      </w:r>
    </w:p>
    <w:p>
      <w:pPr>
        <w:spacing w:after="400"/>
      </w:pPr>
    </w:p>
    <w:p>
      <w:pPr>
        <w:spacing w:after="80"/>
        <w:jc w:val="center"/>
      </w:pPr>
      <w:r>
        <w:rPr>
          <w:rFonts w:ascii="Times New Roman" w:cs="Times New Roman" w:eastAsia="Times New Roman" w:hAnsi="Times New Roman"/>
          <w:b/>
          <w:bCs/>
          <w:sz w:val="36"/>
          <w:szCs w:val="36"/>
        </w:rPr>
        <w:t xml:space="preserve">Ascorbic Acid as a Potential Adjunctive Intervention in Borderline Personality Disorder:</w:t>
      </w:r>
    </w:p>
    <w:p>
      <w:pPr>
        <w:spacing w:after="200"/>
        <w:jc w:val="center"/>
      </w:pPr>
      <w:r>
        <w:rPr>
          <w:rFonts w:ascii="Times New Roman" w:cs="Times New Roman" w:eastAsia="Times New Roman" w:hAnsi="Times New Roman"/>
          <w:b/>
          <w:bCs/>
          <w:sz w:val="36"/>
          <w:szCs w:val="36"/>
        </w:rPr>
        <w:t xml:space="preserve">A Mechanistic Hypothesis and Rationale for a Pilot Trial</w:t>
      </w:r>
    </w:p>
    <w:p>
      <w:pPr>
        <w:spacing w:after="80"/>
        <w:jc w:val="center"/>
      </w:pPr>
      <w:r>
        <w:rPr>
          <w:rFonts w:ascii="Times New Roman" w:cs="Times New Roman" w:eastAsia="Times New Roman" w:hAnsi="Times New Roman"/>
          <w:i/>
          <w:iCs/>
          <w:sz w:val="24"/>
          <w:szCs w:val="24"/>
        </w:rPr>
        <w:t xml:space="preserve">Narrative, hypothesis-generating overview</w:t>
      </w:r>
    </w:p>
    <w:p>
      <w:pPr>
        <w:spacing w:after="80"/>
        <w:jc w:val="center"/>
      </w:pPr>
      <w:r>
        <w:rPr>
          <w:rFonts w:ascii="Times New Roman" w:cs="Times New Roman" w:eastAsia="Times New Roman" w:hAnsi="Times New Roman"/>
          <w:i/>
          <w:iCs/>
          <w:sz w:val="24"/>
          <w:szCs w:val="24"/>
        </w:rPr>
        <w:t xml:space="preserve">[Authors]    [Affiliations]    [Corresponding author]</w:t>
      </w:r>
    </w:p>
    <w:p>
      <w:pPr>
        <w:spacing w:after="400"/>
      </w:pPr>
    </w:p>
    <w:p>
      <w:pPr>
        <w:pStyle w:val="Heading1"/>
        <w:spacing w:before="400" w:after="200"/>
      </w:pPr>
      <w:r>
        <w:rPr>
          <w:rFonts w:ascii="Times New Roman" w:cs="Times New Roman" w:eastAsia="Times New Roman" w:hAnsi="Times New Roman"/>
          <w:b/>
          <w:bCs/>
          <w:sz w:val="32"/>
          <w:szCs w:val="32"/>
        </w:rPr>
        <w:t xml:space="preserve">Abstract</w:t>
      </w:r>
    </w:p>
    <w:p>
      <w:pPr>
        <w:spacing w:after="200" w:line="360"/>
        <w:jc w:val="both"/>
      </w:pPr>
      <w:r>
        <w:rPr>
          <w:rFonts w:ascii="Times New Roman" w:cs="Times New Roman" w:eastAsia="Times New Roman" w:hAnsi="Times New Roman"/>
          <w:sz w:val="24"/>
          <w:szCs w:val="24"/>
        </w:rPr>
        <w:t xml:space="preserve">Borderline personality disorder (BPD) is characterized by affective instability, impulsivity, interpersonal dysfunction, and marked stress reactivity. Psychotherapy, especially dialectical behavior therapy (DBT), remains the treatment cornerstone, while adjunctive biological interventions have a comparatively limited evidence base. This narrative, hypothesis-generating overview examines whether ascorbic acid (vitamin C) deserves empirical study as an adjunctive intervention in BPD. The rationale is mechanistic rather than evidentiary. Vitamin C is an established cofactor for dopamine-β-hydroxylase (DβH), supports tetrahydrobiopterin (BH4)-dependent monoamine synthesis, and modulates glutamatergic NMDA-related signaling. These pathways intersect conceptually with aspects of BPD neurobiology involving emotional dysregulation, frontolimbic dysfunction, stress sensitivity, and possible catecholaminergic involvement. At the same time, several counterarguments substantially limit the hypothesis: catecholamine findings in BPD are inconsistent; Friedel’s dopamine model was explicitly presented as circumstantial; meta-analytic evidence for vitamin C in mood is mixed (Hedge’s g=0.09, N=836, n.s.); and brain ascorbate homeostasis may limit the impact of oral supplementation in replete individuals. Accordingly, this paper does not argue that vitamin C is likely to treat BPD. Rather, it proposes that vitamin C is a low-cost, biologically plausible, and testable candidate for preliminary evaluation. A randomized, double-blind, placebo-controlled pilot trial is outlined (N=80; 24 weeks; vitamin C 1,000 mg/day vs. placebo as add-on to DBT), with the Borderline Symptom List-23 (BSL-23) as the primary outcome and plasma ascorbate, homovanillic acid (HVA), and 3-methoxy-4-hydroxyphenylglycol (MHPG) as exploratory biomarkers. This is an invitation to empirical testing, not a claim that therapeutic efficacy is established.</w:t>
      </w:r>
    </w:p>
    <w:p>
      <w:pPr>
        <w:spacing w:after="200" w:line="360"/>
        <w:jc w:val="both"/>
      </w:pPr>
      <w:r>
        <w:rPr>
          <w:rFonts w:ascii="Times New Roman" w:cs="Times New Roman" w:eastAsia="Times New Roman" w:hAnsi="Times New Roman"/>
          <w:b/>
          <w:bCs/>
          <w:sz w:val="24"/>
          <w:szCs w:val="24"/>
        </w:rPr>
        <w:t xml:space="preserve">Keywords: </w:t>
      </w:r>
      <w:r>
        <w:rPr>
          <w:rFonts w:ascii="Times New Roman" w:cs="Times New Roman" w:eastAsia="Times New Roman" w:hAnsi="Times New Roman"/>
          <w:sz w:val="24"/>
          <w:szCs w:val="24"/>
        </w:rPr>
        <w:t xml:space="preserve">borderline personality disorder; ascorbic acid; vitamin C; catecholamines; dopamine-β-hydroxylase; tetrahydrobiopterin; NMDA; dialectical behavior therapy; pilot trial</w:t>
      </w:r>
    </w:p>
    <w:p>
      <w:pPr>
        <w:pStyle w:val="Heading1"/>
        <w:spacing w:before="400" w:after="200"/>
      </w:pPr>
      <w:r>
        <w:rPr>
          <w:rFonts w:ascii="Times New Roman" w:cs="Times New Roman" w:eastAsia="Times New Roman" w:hAnsi="Times New Roman"/>
          <w:b/>
          <w:bCs/>
          <w:sz w:val="32"/>
          <w:szCs w:val="32"/>
        </w:rPr>
        <w:t xml:space="preserve">1. Introduction</w:t>
      </w:r>
    </w:p>
    <w:p>
      <w:pPr>
        <w:spacing w:after="200" w:line="360"/>
        <w:jc w:val="both"/>
      </w:pPr>
      <w:r>
        <w:rPr>
          <w:rFonts w:ascii="Times New Roman" w:cs="Times New Roman" w:eastAsia="Times New Roman" w:hAnsi="Times New Roman"/>
          <w:sz w:val="24"/>
          <w:szCs w:val="24"/>
        </w:rPr>
        <w:t xml:space="preserve">Borderline personality disorder is a severe psychiatric condition characterized by affective lability, impulsive self-damaging behavior, unstable attachment, chronic emptiness, anger dyscontrol, and heightened reactivity to interpersonal stress. It affects an estimated 1–2% of the general population and up to 20% of psychiatric inpatients, with lifetime suicide rates of 8–10% (Leichsenring et al., 2011; Paris, 2019). Across current treatment frameworks, structured psychotherapy remains the central intervention, with DBT among the most empirically supported approaches (Storebø et al., 2020). Pharmacotherapy has a more limited and symptom-targeted role; no medication carries regulatory approval for BPD, and a Cochrane review concluded that the evidence for any pharmacological agent is of low to very low quality (Stoffers-Winterling et al., 2022).</w:t>
      </w:r>
    </w:p>
    <w:p>
      <w:pPr>
        <w:spacing w:after="200" w:line="360"/>
        <w:jc w:val="both"/>
      </w:pPr>
      <w:r>
        <w:rPr>
          <w:rFonts w:ascii="Times New Roman" w:cs="Times New Roman" w:eastAsia="Times New Roman" w:hAnsi="Times New Roman"/>
          <w:sz w:val="24"/>
          <w:szCs w:val="24"/>
        </w:rPr>
        <w:t xml:space="preserve">Nutritional supplementation has received minimal attention. Only omega-3 fatty acids have been tested in replicated trials, yielding a pooled effect size of d=0.54 for overall BPD symptom severity across four RCTs totaling 137 patients (Karaszewska et al., 2021). No study has examined vitamin C in BPD or in any personality disorder.</w:t>
      </w:r>
    </w:p>
    <w:p>
      <w:pPr>
        <w:spacing w:after="200" w:line="360"/>
        <w:jc w:val="both"/>
      </w:pPr>
      <w:r>
        <w:rPr>
          <w:rFonts w:ascii="Times New Roman" w:cs="Times New Roman" w:eastAsia="Times New Roman" w:hAnsi="Times New Roman"/>
          <w:sz w:val="24"/>
          <w:szCs w:val="24"/>
        </w:rPr>
        <w:t xml:space="preserve">The present paper is intentionally </w:t>
      </w:r>
      <w:r>
        <w:rPr>
          <w:rFonts w:ascii="Times New Roman" w:cs="Times New Roman" w:eastAsia="Times New Roman" w:hAnsi="Times New Roman"/>
          <w:b/>
          <w:bCs/>
          <w:sz w:val="24"/>
          <w:szCs w:val="24"/>
        </w:rPr>
        <w:t xml:space="preserve">not</w:t>
      </w:r>
      <w:r>
        <w:rPr>
          <w:rFonts w:ascii="Times New Roman" w:cs="Times New Roman" w:eastAsia="Times New Roman" w:hAnsi="Times New Roman"/>
          <w:sz w:val="24"/>
          <w:szCs w:val="24"/>
        </w:rPr>
        <w:t xml:space="preserve"> a systematic review. It is a narrative, hypothesis-generating overview that asks whether a specific biochemical fact pattern justifies a pilot trial. Vitamin C has well-established roles in catecholamine and monoamine-related neurochemistry, while parts of BPD neurobiology may involve dysregulation in those same systems. The purpose is not to infer efficacy from mechanism, but to determine whether a cautious translational hypothesis is sufficiently plausible to test.</w:t>
      </w:r>
    </w:p>
    <w:p>
      <w:pPr>
        <w:pStyle w:val="Heading1"/>
        <w:spacing w:before="400" w:after="200"/>
      </w:pPr>
      <w:r>
        <w:rPr>
          <w:rFonts w:ascii="Times New Roman" w:cs="Times New Roman" w:eastAsia="Times New Roman" w:hAnsi="Times New Roman"/>
          <w:b/>
          <w:bCs/>
          <w:sz w:val="32"/>
          <w:szCs w:val="32"/>
        </w:rPr>
        <w:t xml:space="preserve">2. Why Consider Vitamin C in BPD?</w:t>
      </w:r>
    </w:p>
    <w:p>
      <w:pPr>
        <w:spacing w:after="200" w:line="360"/>
        <w:jc w:val="both"/>
      </w:pPr>
      <w:r>
        <w:rPr>
          <w:rFonts w:ascii="Times New Roman" w:cs="Times New Roman" w:eastAsia="Times New Roman" w:hAnsi="Times New Roman"/>
          <w:sz w:val="24"/>
          <w:szCs w:val="24"/>
        </w:rPr>
        <w:t xml:space="preserve">The starting point is not that BPD is a “vitamin deficiency disorder,” nor that catecholamine dysfunction has been conclusively demonstrated in BPD. The case depends on convergence across several weaker-to-moderate evidence strands rather than on any single decisive finding.</w:t>
      </w:r>
    </w:p>
    <w:p>
      <w:pPr>
        <w:pStyle w:val="Heading1"/>
        <w:spacing w:before="400" w:after="200"/>
      </w:pPr>
      <w:r>
        <w:rPr>
          <w:rFonts w:ascii="Times New Roman" w:cs="Times New Roman" w:eastAsia="Times New Roman" w:hAnsi="Times New Roman"/>
          <w:b/>
          <w:bCs/>
          <w:sz w:val="32"/>
          <w:szCs w:val="32"/>
        </w:rPr>
        <w:t xml:space="preserve">3. BPD Neurobiology: What Is Actually Known?</w:t>
      </w:r>
    </w:p>
    <w:p>
      <w:pPr>
        <w:pStyle w:val="Heading2"/>
        <w:spacing w:before="300" w:after="160"/>
      </w:pPr>
      <w:r>
        <w:rPr>
          <w:rFonts w:ascii="Times New Roman" w:cs="Times New Roman" w:eastAsia="Times New Roman" w:hAnsi="Times New Roman"/>
          <w:b/>
          <w:bCs/>
          <w:sz w:val="28"/>
          <w:szCs w:val="28"/>
        </w:rPr>
        <w:t xml:space="preserve">3.1 Serotonergic findings are stronger than catecholaminergic findings</w:t>
      </w:r>
    </w:p>
    <w:p>
      <w:pPr>
        <w:spacing w:after="200" w:line="360"/>
        <w:jc w:val="both"/>
      </w:pPr>
      <w:r>
        <w:rPr>
          <w:rFonts w:ascii="Times New Roman" w:cs="Times New Roman" w:eastAsia="Times New Roman" w:hAnsi="Times New Roman"/>
          <w:sz w:val="24"/>
          <w:szCs w:val="24"/>
        </w:rPr>
        <w:t xml:space="preserve">The best-established neurotransmitter findings in BPD concern serotonin. Reduced CSF 5-HIAA, blunted prolactin responses to fenfluramine (Coccaro et al., 1989; Soloff et al., 2000), and PET evidence of decreased serotonin synthesis capacity in corticostriatal circuits (Leyton et al., 2001; N=13 BPD vs. 11 controls) have been replicated across independent groups. TPH2 gene variants associate with affective lability independent of aggression (Gutknecht et al., 2007; Perez-Rodriguez et al., 2010). </w:t>
      </w:r>
      <w:r>
        <w:rPr>
          <w:rFonts w:ascii="Times New Roman" w:cs="Times New Roman" w:eastAsia="Times New Roman" w:hAnsi="Times New Roman"/>
          <w:b/>
          <w:bCs/>
          <w:sz w:val="24"/>
          <w:szCs w:val="24"/>
        </w:rPr>
        <w:t xml:space="preserve">Evidence strength: strong.</w:t>
      </w:r>
      <w:r>
        <w:rPr>
          <w:rFonts w:ascii="Times New Roman" w:cs="Times New Roman" w:eastAsia="Times New Roman" w:hAnsi="Times New Roman"/>
          <w:sz w:val="24"/>
          <w:szCs w:val="24"/>
        </w:rPr>
        <w:t xml:space="preserve"> This matters because any catecholamine-based vitamin C hypothesis should not replace the serotonin literature. At most, the BH4-related mechanism discussed below suggests a possible bridge between catecholaminergic and serotonergic physiology.</w:t>
      </w:r>
    </w:p>
    <w:p>
      <w:pPr>
        <w:pStyle w:val="Heading2"/>
        <w:spacing w:before="300" w:after="160"/>
      </w:pPr>
      <w:r>
        <w:rPr>
          <w:rFonts w:ascii="Times New Roman" w:cs="Times New Roman" w:eastAsia="Times New Roman" w:hAnsi="Times New Roman"/>
          <w:b/>
          <w:bCs/>
          <w:sz w:val="28"/>
          <w:szCs w:val="28"/>
        </w:rPr>
        <w:t xml:space="preserve">3.2 Dopamine: plausible, but still indirect</w:t>
      </w:r>
    </w:p>
    <w:p>
      <w:pPr>
        <w:spacing w:after="200" w:line="360"/>
        <w:jc w:val="both"/>
      </w:pPr>
      <w:r>
        <w:rPr>
          <w:rFonts w:ascii="Times New Roman" w:cs="Times New Roman" w:eastAsia="Times New Roman" w:hAnsi="Times New Roman"/>
          <w:sz w:val="24"/>
          <w:szCs w:val="24"/>
        </w:rPr>
        <w:t xml:space="preserve">Friedel’s (2004) influential hypothesis proposed that dopaminergic dysfunction could contribute to emotional dysregulation, impulsivity, and cognitive-perceptual symptoms, but he stated clearly that the evidence was </w:t>
      </w:r>
      <w:r>
        <w:rPr>
          <w:rFonts w:ascii="Times New Roman" w:cs="Times New Roman" w:eastAsia="Times New Roman" w:hAnsi="Times New Roman"/>
          <w:i/>
          <w:iCs/>
          <w:sz w:val="24"/>
          <w:szCs w:val="24"/>
        </w:rPr>
        <w:t xml:space="preserve">circumstantial</w:t>
      </w:r>
      <w:r>
        <w:rPr>
          <w:rFonts w:ascii="Times New Roman" w:cs="Times New Roman" w:eastAsia="Times New Roman" w:hAnsi="Times New Roman"/>
          <w:sz w:val="24"/>
          <w:szCs w:val="24"/>
        </w:rPr>
        <w:t xml:space="preserve">. That caution must be preserved, not softened. Still, some data are worth noting. Tadić et al. (2009) reported overrepresentation of the COMT Met158Met genotype in BPD (N=161 vs. 156 controls; p=0.0085). Joyce et al. (2006) reported DAT1-related risk estimates in the range of OR=2.67–3.67. Hess et al. (2009) examined DBH-related impulsive personality traits in a combined sample of N=1,613, supporting the broader relevance of catecholamine-related genes to impulsivity-associated phenotypes. These findings are not definitive evidence of dopamine dysfunction in BPD, but they indicate that catecholaminergic biology is not an unreasonable place to look. </w:t>
      </w:r>
      <w:r>
        <w:rPr>
          <w:rFonts w:ascii="Times New Roman" w:cs="Times New Roman" w:eastAsia="Times New Roman" w:hAnsi="Times New Roman"/>
          <w:b/>
          <w:bCs/>
          <w:sz w:val="24"/>
          <w:szCs w:val="24"/>
        </w:rPr>
        <w:t xml:space="preserve">Evidence strength: moderate.</w:t>
      </w:r>
    </w:p>
    <w:p>
      <w:pPr>
        <w:pStyle w:val="Heading2"/>
        <w:spacing w:before="300" w:after="160"/>
      </w:pPr>
      <w:r>
        <w:rPr>
          <w:rFonts w:ascii="Times New Roman" w:cs="Times New Roman" w:eastAsia="Times New Roman" w:hAnsi="Times New Roman"/>
          <w:b/>
          <w:bCs/>
          <w:sz w:val="28"/>
          <w:szCs w:val="28"/>
        </w:rPr>
        <w:t xml:space="preserve">3.3 Norepinephrine: sparse and internally contradictory</w:t>
      </w:r>
    </w:p>
    <w:p>
      <w:pPr>
        <w:spacing w:after="200" w:line="360"/>
        <w:jc w:val="both"/>
      </w:pPr>
      <w:r>
        <w:rPr>
          <w:rFonts w:ascii="Times New Roman" w:cs="Times New Roman" w:eastAsia="Times New Roman" w:hAnsi="Times New Roman"/>
          <w:sz w:val="24"/>
          <w:szCs w:val="24"/>
        </w:rPr>
        <w:t xml:space="preserve">The noradrenergic literature is weaker and more problematic. Gardner et al. (1990) found no significant CSF differences in HVA or MHPG between BPD patients and controls. Coccaro et al. (2003) reported that plasma free MHPG correlated </w:t>
      </w:r>
      <w:r>
        <w:rPr>
          <w:rFonts w:ascii="Times New Roman" w:cs="Times New Roman" w:eastAsia="Times New Roman" w:hAnsi="Times New Roman"/>
          <w:i/>
          <w:iCs/>
          <w:sz w:val="24"/>
          <w:szCs w:val="24"/>
        </w:rPr>
        <w:t xml:space="preserve">inversely</w:t>
      </w:r>
      <w:r>
        <w:rPr>
          <w:rFonts w:ascii="Times New Roman" w:cs="Times New Roman" w:eastAsia="Times New Roman" w:hAnsi="Times New Roman"/>
          <w:sz w:val="24"/>
          <w:szCs w:val="24"/>
        </w:rPr>
        <w:t xml:space="preserve"> with life history of aggression in personality-disordered subjects (N=30), whereas earlier central measures had suggested the opposite direction.</w:t>
      </w:r>
    </w:p>
    <w:p>
      <w:pPr>
        <w:spacing w:after="200" w:line="360"/>
        <w:jc w:val="both"/>
      </w:pPr>
      <w:r>
        <w:rPr>
          <w:rFonts w:ascii="Times New Roman" w:cs="Times New Roman" w:eastAsia="Times New Roman" w:hAnsi="Times New Roman"/>
          <w:sz w:val="24"/>
          <w:szCs w:val="24"/>
        </w:rPr>
        <w:t xml:space="preserve">More importantly, Philipsen et al. (2004) found that </w:t>
      </w:r>
      <w:r>
        <w:rPr>
          <w:rFonts w:ascii="Times New Roman" w:cs="Times New Roman" w:eastAsia="Times New Roman" w:hAnsi="Times New Roman"/>
          <w:b/>
          <w:bCs/>
          <w:sz w:val="24"/>
          <w:szCs w:val="24"/>
        </w:rPr>
        <w:t xml:space="preserve">clonidine</w:t>
      </w:r>
      <w:r>
        <w:rPr>
          <w:rFonts w:ascii="Times New Roman" w:cs="Times New Roman" w:eastAsia="Times New Roman" w:hAnsi="Times New Roman"/>
          <w:sz w:val="24"/>
          <w:szCs w:val="24"/>
        </w:rPr>
        <w:t xml:space="preserve">—an alpha-2 adrenergic agonist that reduces noradrenergic firing—improved hyperarousal-related symptoms in women with BPD. This is an important counterargument. If reducing noradrenergic tone helps some BPD patients, one cannot simply assume that a nutrient participating in norepinephrine synthesis would be beneficial by increasing catecholamine output. The correct inference is not that vitamin C should help, but that catecholaminergic modulation in BPD is likely complex, state-dependent, and heterogeneous across patients. </w:t>
      </w:r>
      <w:r>
        <w:rPr>
          <w:rFonts w:ascii="Times New Roman" w:cs="Times New Roman" w:eastAsia="Times New Roman" w:hAnsi="Times New Roman"/>
          <w:b/>
          <w:bCs/>
          <w:sz w:val="24"/>
          <w:szCs w:val="24"/>
        </w:rPr>
        <w:t xml:space="preserve">Evidence strength: weak. This strand weakens rather than supports a simple “more norepinephrine” model.</w:t>
      </w:r>
    </w:p>
    <w:p>
      <w:pPr>
        <w:pStyle w:val="Heading2"/>
        <w:spacing w:before="300" w:after="160"/>
      </w:pPr>
      <w:r>
        <w:rPr>
          <w:rFonts w:ascii="Times New Roman" w:cs="Times New Roman" w:eastAsia="Times New Roman" w:hAnsi="Times New Roman"/>
          <w:b/>
          <w:bCs/>
          <w:sz w:val="28"/>
          <w:szCs w:val="28"/>
        </w:rPr>
        <w:t xml:space="preserve">3.4 Frontolimbic dysfunction is robust, but not transmitter-specific</w:t>
      </w:r>
    </w:p>
    <w:p>
      <w:pPr>
        <w:spacing w:after="200" w:line="360"/>
        <w:jc w:val="both"/>
      </w:pPr>
      <w:r>
        <w:rPr>
          <w:rFonts w:ascii="Times New Roman" w:cs="Times New Roman" w:eastAsia="Times New Roman" w:hAnsi="Times New Roman"/>
          <w:sz w:val="24"/>
          <w:szCs w:val="24"/>
        </w:rPr>
        <w:t xml:space="preserve">Functional imaging consistently implicates frontolimbic dysregulation in BPD, especially impaired prefrontal control over limbic reactivity (Schulze et al., 2016). The normal positive OFC-amygdala metabolic correlation present in controls is absent in BPD (New et al., 2007; N=26 vs. 24). These findings support the idea that biologically relevant adjuncts might influence emotion regulation circuitry, but they do not identify a single neurotransmitter lesion. </w:t>
      </w:r>
      <w:r>
        <w:rPr>
          <w:rFonts w:ascii="Times New Roman" w:cs="Times New Roman" w:eastAsia="Times New Roman" w:hAnsi="Times New Roman"/>
          <w:b/>
          <w:bCs/>
          <w:sz w:val="24"/>
          <w:szCs w:val="24"/>
        </w:rPr>
        <w:t xml:space="preserve">Evidence strength for PFC dysfunction: strong. For catecholaminergic specificity: moderate.</w:t>
      </w:r>
    </w:p>
    <w:p>
      <w:pPr>
        <w:pStyle w:val="Heading1"/>
        <w:spacing w:before="400" w:after="200"/>
      </w:pPr>
      <w:r>
        <w:rPr>
          <w:rFonts w:ascii="Times New Roman" w:cs="Times New Roman" w:eastAsia="Times New Roman" w:hAnsi="Times New Roman"/>
          <w:b/>
          <w:bCs/>
          <w:sz w:val="32"/>
          <w:szCs w:val="32"/>
        </w:rPr>
        <w:t xml:space="preserve">4. Mechanism 1: Vitamin C as a Cofactor for Dopamine-β-Hydroxylase</w:t>
      </w:r>
    </w:p>
    <w:p>
      <w:pPr>
        <w:spacing w:after="200" w:line="360"/>
        <w:jc w:val="both"/>
      </w:pPr>
      <w:r>
        <w:rPr>
          <w:rFonts w:ascii="Times New Roman" w:cs="Times New Roman" w:eastAsia="Times New Roman" w:hAnsi="Times New Roman"/>
          <w:b/>
          <w:bCs/>
          <w:i/>
          <w:iCs/>
          <w:sz w:val="24"/>
          <w:szCs w:val="24"/>
        </w:rPr>
        <w:t xml:space="preserve">Evidence strength: very strong biochemically; weak clinically in BPD.</w:t>
      </w:r>
    </w:p>
    <w:p>
      <w:pPr>
        <w:spacing w:after="200" w:line="360"/>
        <w:jc w:val="both"/>
      </w:pPr>
      <w:r>
        <w:rPr>
          <w:rFonts w:ascii="Times New Roman" w:cs="Times New Roman" w:eastAsia="Times New Roman" w:hAnsi="Times New Roman"/>
          <w:sz w:val="24"/>
          <w:szCs w:val="24"/>
        </w:rPr>
        <w:t xml:space="preserve">Ascorbic acid is the obligatory electron donor for DβH, the enzyme converting dopamine to norepinephrine. This relationship, characterized since 1960 (Levin et al., 1960), has been confirmed in biochemical, vesicular, and neuronal systems. In SH-SY5Y neuroblastoma cells, norepinephrine synthesis was stimulated several-fold by intracellular ascorbate, with half-maximal effects at 0.2–0.5 mM—consistent with physiological intraneuronal concentrations achievable from extracellular ascorbate below 25 μM via SVCT2 concentrative transport (May et al., 2013). This is established enzymology, not speculation.</w:t>
      </w:r>
    </w:p>
    <w:p>
      <w:pPr>
        <w:spacing w:after="200" w:line="360"/>
        <w:jc w:val="both"/>
      </w:pPr>
      <w:r>
        <w:rPr>
          <w:rFonts w:ascii="Times New Roman" w:cs="Times New Roman" w:eastAsia="Times New Roman" w:hAnsi="Times New Roman"/>
          <w:sz w:val="24"/>
          <w:szCs w:val="24"/>
        </w:rPr>
        <w:t xml:space="preserve">However, a true enzymatic role does </w:t>
      </w:r>
      <w:r>
        <w:rPr>
          <w:rFonts w:ascii="Times New Roman" w:cs="Times New Roman" w:eastAsia="Times New Roman" w:hAnsi="Times New Roman"/>
          <w:b/>
          <w:bCs/>
          <w:sz w:val="24"/>
          <w:szCs w:val="24"/>
        </w:rPr>
        <w:t xml:space="preserve">not</w:t>
      </w:r>
      <w:r>
        <w:rPr>
          <w:rFonts w:ascii="Times New Roman" w:cs="Times New Roman" w:eastAsia="Times New Roman" w:hAnsi="Times New Roman"/>
          <w:sz w:val="24"/>
          <w:szCs w:val="24"/>
        </w:rPr>
        <w:t xml:space="preserve"> imply therapeutic relevance in BPD. The direction of noradrenergic dysfunction in BPD is not established, and the clonidine findings caution against simplistic “more norepinephrine is better” thinking. The DβH mechanism supports </w:t>
      </w:r>
      <w:r>
        <w:rPr>
          <w:rFonts w:ascii="Times New Roman" w:cs="Times New Roman" w:eastAsia="Times New Roman" w:hAnsi="Times New Roman"/>
          <w:b/>
          <w:bCs/>
          <w:sz w:val="24"/>
          <w:szCs w:val="24"/>
        </w:rPr>
        <w:t xml:space="preserve">plausibility</w:t>
      </w:r>
      <w:r>
        <w:rPr>
          <w:rFonts w:ascii="Times New Roman" w:cs="Times New Roman" w:eastAsia="Times New Roman" w:hAnsi="Times New Roman"/>
          <w:sz w:val="24"/>
          <w:szCs w:val="24"/>
        </w:rPr>
        <w:t xml:space="preserve">, not directional certainty.</w:t>
      </w:r>
    </w:p>
    <w:p>
      <w:pPr>
        <w:pStyle w:val="Heading1"/>
        <w:spacing w:before="400" w:after="200"/>
      </w:pPr>
      <w:r>
        <w:rPr>
          <w:rFonts w:ascii="Times New Roman" w:cs="Times New Roman" w:eastAsia="Times New Roman" w:hAnsi="Times New Roman"/>
          <w:b/>
          <w:bCs/>
          <w:sz w:val="32"/>
          <w:szCs w:val="32"/>
        </w:rPr>
        <w:t xml:space="preserve">5. Mechanism 2: Vitamin C, BH4 Recycling, and Monoamine Synthesis</w:t>
      </w:r>
    </w:p>
    <w:p>
      <w:pPr>
        <w:spacing w:after="200" w:line="360"/>
        <w:jc w:val="both"/>
      </w:pPr>
      <w:r>
        <w:rPr>
          <w:rFonts w:ascii="Times New Roman" w:cs="Times New Roman" w:eastAsia="Times New Roman" w:hAnsi="Times New Roman"/>
          <w:b/>
          <w:bCs/>
          <w:i/>
          <w:iCs/>
          <w:sz w:val="24"/>
          <w:szCs w:val="24"/>
        </w:rPr>
        <w:t xml:space="preserve">Evidence strength: moderate-to-strong preclinical; indirect clinically.</w:t>
      </w:r>
    </w:p>
    <w:p>
      <w:pPr>
        <w:spacing w:after="200" w:line="360"/>
        <w:jc w:val="both"/>
      </w:pPr>
      <w:r>
        <w:rPr>
          <w:rFonts w:ascii="Times New Roman" w:cs="Times New Roman" w:eastAsia="Times New Roman" w:hAnsi="Times New Roman"/>
          <w:sz w:val="24"/>
          <w:szCs w:val="24"/>
        </w:rPr>
        <w:t xml:space="preserve">Ascorbate helps maintain tetrahydrobiopterin (BH4), a critical cofactor for both tyrosine hydroxylase and tryptophan hydroxylase, the rate-limiting enzymes for catecholamine and serotonin synthesis respectively. Ascorbate reduces the trihydrobiopterin radical more efficiently than glutathione (May et al., 2012). SVCT2 knockout mice show ~33% reductions in cortical dopamine and norepinephrine with decreased tyrosine hydroxylase protein (Harrison et al., 2010). ODS rats (unable to synthesize ascorbate) show decreased brain BH4 with concurrent monoamine reductions (Nakanishi et al., 2019). At intracellular ascorbate above 1.5 mM, tyrosine hydroxylase expression itself increases (May et al., 2012).</w:t>
      </w:r>
    </w:p>
    <w:p>
      <w:pPr>
        <w:spacing w:after="200" w:line="360"/>
        <w:jc w:val="both"/>
      </w:pPr>
      <w:r>
        <w:rPr>
          <w:rFonts w:ascii="Times New Roman" w:cs="Times New Roman" w:eastAsia="Times New Roman" w:hAnsi="Times New Roman"/>
          <w:sz w:val="24"/>
          <w:szCs w:val="24"/>
        </w:rPr>
        <w:t xml:space="preserve">This mechanism broadens the rationale in two ways. First, it extends beyond norepinephrine to dopamine and serotonin—important because serotonergic evidence in BPD is stronger than catecholaminergic evidence. Second, it allows a more nuanced hypothesis: any clinical effect, if present, may relate not to a single catecholamine increase, but to support of monoamine synthesis under biologically stressed or marginal conditions. Still, most evidence is preclinical. Human in vivo proof that ordinary oral vitamin C substantially shifts central BH4-dependent neurotransmission is lacking.</w:t>
      </w:r>
    </w:p>
    <w:p>
      <w:pPr>
        <w:pStyle w:val="Heading1"/>
        <w:spacing w:before="400" w:after="200"/>
      </w:pPr>
      <w:r>
        <w:rPr>
          <w:rFonts w:ascii="Times New Roman" w:cs="Times New Roman" w:eastAsia="Times New Roman" w:hAnsi="Times New Roman"/>
          <w:b/>
          <w:bCs/>
          <w:sz w:val="32"/>
          <w:szCs w:val="32"/>
        </w:rPr>
        <w:t xml:space="preserve">6. Mechanism 3: NMDA / Glutamatergic Modulation</w:t>
      </w:r>
    </w:p>
    <w:p>
      <w:pPr>
        <w:spacing w:after="200" w:line="360"/>
        <w:jc w:val="both"/>
      </w:pPr>
      <w:r>
        <w:rPr>
          <w:rFonts w:ascii="Times New Roman" w:cs="Times New Roman" w:eastAsia="Times New Roman" w:hAnsi="Times New Roman"/>
          <w:b/>
          <w:bCs/>
          <w:i/>
          <w:iCs/>
          <w:sz w:val="24"/>
          <w:szCs w:val="24"/>
        </w:rPr>
        <w:t xml:space="preserve">Evidence strength: strong preclinical; weak-to-indirect clinically.</w:t>
      </w:r>
    </w:p>
    <w:p>
      <w:pPr>
        <w:spacing w:after="200" w:line="360"/>
        <w:jc w:val="both"/>
      </w:pPr>
      <w:r>
        <w:rPr>
          <w:rFonts w:ascii="Times New Roman" w:cs="Times New Roman" w:eastAsia="Times New Roman" w:hAnsi="Times New Roman"/>
          <w:sz w:val="24"/>
          <w:szCs w:val="24"/>
        </w:rPr>
        <w:t xml:space="preserve">Ascorbate modulates NMDA receptor function through redox-sensitive cysteine residues and has shown neuroprotective effects in glutamatergic models (Majewska et al., 1990). Grosjean and Tsai (2007) proposed NMDA neurotransmission as a critical mediator of BPD. This mechanism broadens the rationale beyond catecholamine synthesis and suggests that vitamin C could, in theory, intersect with stress-sensitive excitatory signaling.</w:t>
      </w:r>
    </w:p>
    <w:p>
      <w:pPr>
        <w:spacing w:after="200" w:line="360"/>
        <w:jc w:val="both"/>
      </w:pPr>
      <w:r>
        <w:rPr>
          <w:rFonts w:ascii="Times New Roman" w:cs="Times New Roman" w:eastAsia="Times New Roman" w:hAnsi="Times New Roman"/>
          <w:sz w:val="24"/>
          <w:szCs w:val="24"/>
        </w:rPr>
        <w:t xml:space="preserve">This mechanism should not be oversold. It does not show that vitamin C has ketamine-like clinical relevance in BPD, nor does it establish symptom-level efficacy. Its value is mainly that it broadens the biological rationale. No human study has demonstrated that vitamin C improves emotion regulation through NMDA-related pathways.</w:t>
      </w:r>
    </w:p>
    <w:p>
      <w:pPr>
        <w:pStyle w:val="Heading1"/>
        <w:spacing w:before="400" w:after="200"/>
      </w:pPr>
      <w:r>
        <w:rPr>
          <w:rFonts w:ascii="Times New Roman" w:cs="Times New Roman" w:eastAsia="Times New Roman" w:hAnsi="Times New Roman"/>
          <w:b/>
          <w:bCs/>
          <w:sz w:val="32"/>
          <w:szCs w:val="32"/>
        </w:rPr>
        <w:t xml:space="preserve">7. The Blood-Brain Constraint</w:t>
      </w:r>
    </w:p>
    <w:p>
      <w:pPr>
        <w:spacing w:after="200" w:line="360"/>
        <w:jc w:val="both"/>
      </w:pPr>
      <w:r>
        <w:rPr>
          <w:rFonts w:ascii="Times New Roman" w:cs="Times New Roman" w:eastAsia="Times New Roman" w:hAnsi="Times New Roman"/>
          <w:sz w:val="24"/>
          <w:szCs w:val="24"/>
        </w:rPr>
        <w:t xml:space="preserve">The brain maintains ascorbate at 4–200 times plasma levels via SVCT2 active transport (Harrison &amp; May, 2009). CSF concentrations plateau when plasma exceeds ~45 μmol/L; oral supplementation raises brain levels by only ~20% in replete individuals (Lykkesfeldt &amp; Tveden-Nyborg, 2019). This is the main translational bottleneck.</w:t>
      </w:r>
    </w:p>
    <w:p>
      <w:pPr>
        <w:spacing w:after="200" w:line="360"/>
        <w:jc w:val="both"/>
      </w:pPr>
      <w:r>
        <w:rPr>
          <w:rFonts w:ascii="Times New Roman" w:cs="Times New Roman" w:eastAsia="Times New Roman" w:hAnsi="Times New Roman"/>
          <w:sz w:val="24"/>
          <w:szCs w:val="24"/>
        </w:rPr>
        <w:t xml:space="preserve">The hypothesis is therefore more plausible if BPD patients have suboptimal vitamin C status. Indirect support exists: psychiatric inpatients commonly show mild deficiency (Bari et al., 2023), and BPD patients frequently exhibit smoking, chaotic eating, and substance use—all depletion risk factors. However, this has never been measured specifically in BPD. If patients are replete, the marginal benefit of supplementation may be negligible.</w:t>
      </w:r>
    </w:p>
    <w:p>
      <w:pPr>
        <w:pStyle w:val="Heading1"/>
        <w:spacing w:before="400" w:after="200"/>
      </w:pPr>
      <w:r>
        <w:rPr>
          <w:rFonts w:ascii="Times New Roman" w:cs="Times New Roman" w:eastAsia="Times New Roman" w:hAnsi="Times New Roman"/>
          <w:b/>
          <w:bCs/>
          <w:sz w:val="32"/>
          <w:szCs w:val="32"/>
        </w:rPr>
        <w:t xml:space="preserve">8. Clinical Psychiatric Evidence: Mixed and Incomplete</w:t>
      </w:r>
    </w:p>
    <w:p>
      <w:pPr>
        <w:spacing w:after="200" w:line="360"/>
        <w:jc w:val="both"/>
      </w:pPr>
      <w:r>
        <w:rPr>
          <w:rFonts w:ascii="Times New Roman" w:cs="Times New Roman" w:eastAsia="Times New Roman" w:hAnsi="Times New Roman"/>
          <w:sz w:val="24"/>
          <w:szCs w:val="24"/>
        </w:rPr>
        <w:t xml:space="preserve">A meta-analysis of 10 RCTs (Yosaee et al., 2021; N=836) found no significant overall mood effect (Hedge’s g=0.09, p=0.465), with a modest subgroup signal only in subclinical depression (g=−0.18, p=0.041). Individual trials are contradictory: Amr et al. (2013) found vitamin C 1,000 mg/day significantly augmented fluoxetine in pediatric MDD (N=24, 6 months, p&lt;0.0001 on CDRS), while Sahraian et al. (2015) found no benefit added to citalopram in adult MDD (N=43, 8 weeks).</w:t>
      </w:r>
    </w:p>
    <w:p>
      <w:pPr>
        <w:spacing w:after="200" w:line="360"/>
        <w:jc w:val="both"/>
      </w:pPr>
      <w:r>
        <w:rPr>
          <w:rFonts w:ascii="Times New Roman" w:cs="Times New Roman" w:eastAsia="Times New Roman" w:hAnsi="Times New Roman"/>
          <w:sz w:val="24"/>
          <w:szCs w:val="24"/>
        </w:rPr>
        <w:t xml:space="preserve">The most consistent signal concerns stress reactivity. Brody et al. (2002) demonstrated that 3,000 mg/day for 14 days produced lower systolic blood pressure responses, faster cortisol recovery, and reduced subjective stress during the Trier Social Stress Test (N=120, double-blind RCT). In a disorder as stress-reactive as BPD, that is conceptually relevant—but still far from proof of efficacy on core BPD symptoms.</w:t>
      </w:r>
    </w:p>
    <w:p>
      <w:pPr>
        <w:spacing w:after="200" w:line="360"/>
        <w:jc w:val="both"/>
      </w:pPr>
      <w:r>
        <w:rPr>
          <w:rFonts w:ascii="Times New Roman" w:cs="Times New Roman" w:eastAsia="Times New Roman" w:hAnsi="Times New Roman"/>
          <w:sz w:val="24"/>
          <w:szCs w:val="24"/>
        </w:rPr>
        <w:t xml:space="preserve">Crucially, </w:t>
      </w:r>
      <w:r>
        <w:rPr>
          <w:rFonts w:ascii="Times New Roman" w:cs="Times New Roman" w:eastAsia="Times New Roman" w:hAnsi="Times New Roman"/>
          <w:b/>
          <w:bCs/>
          <w:sz w:val="24"/>
          <w:szCs w:val="24"/>
        </w:rPr>
        <w:t xml:space="preserve">no clinical evidence exists for vitamin C affecting impulsivity or emotion regulation</w:t>
      </w:r>
      <w:r>
        <w:rPr>
          <w:rFonts w:ascii="Times New Roman" w:cs="Times New Roman" w:eastAsia="Times New Roman" w:hAnsi="Times New Roman"/>
          <w:sz w:val="24"/>
          <w:szCs w:val="24"/>
        </w:rPr>
        <w:t xml:space="preserve">—the domains most central to BPD. This is not a small gap; it is the main reason this paper remains a hypothesis rather than a treatment argument.</w:t>
      </w:r>
    </w:p>
    <w:p>
      <w:pPr>
        <w:pStyle w:val="Heading1"/>
        <w:spacing w:before="400" w:after="200"/>
      </w:pPr>
      <w:r>
        <w:rPr>
          <w:rFonts w:ascii="Times New Roman" w:cs="Times New Roman" w:eastAsia="Times New Roman" w:hAnsi="Times New Roman"/>
          <w:b/>
          <w:bCs/>
          <w:sz w:val="32"/>
          <w:szCs w:val="32"/>
        </w:rPr>
        <w:t xml:space="preserve">9. The Major Counterarguments</w:t>
      </w:r>
    </w:p>
    <w:p>
      <w:pPr>
        <w:pStyle w:val="Heading2"/>
        <w:spacing w:before="300" w:after="160"/>
      </w:pPr>
      <w:r>
        <w:rPr>
          <w:rFonts w:ascii="Times New Roman" w:cs="Times New Roman" w:eastAsia="Times New Roman" w:hAnsi="Times New Roman"/>
          <w:b/>
          <w:bCs/>
          <w:sz w:val="28"/>
          <w:szCs w:val="28"/>
        </w:rPr>
        <w:t xml:space="preserve">9.1 Friedel’s dopamine model remains circumstantial</w:t>
      </w:r>
    </w:p>
    <w:p>
      <w:pPr>
        <w:spacing w:after="200" w:line="360"/>
        <w:jc w:val="both"/>
      </w:pPr>
      <w:r>
        <w:rPr>
          <w:rFonts w:ascii="Times New Roman" w:cs="Times New Roman" w:eastAsia="Times New Roman" w:hAnsi="Times New Roman"/>
          <w:sz w:val="24"/>
          <w:szCs w:val="24"/>
        </w:rPr>
        <w:t xml:space="preserve">This is the most important conceptual restraint. The dopamine hypothesis in BPD remains influential because it is intellectually interesting, not because it has been directly confirmed. No honest rationale paper should write as if dopamine dysfunction in BPD were established fact.</w:t>
      </w:r>
    </w:p>
    <w:p>
      <w:pPr>
        <w:pStyle w:val="Heading2"/>
        <w:spacing w:before="300" w:after="160"/>
      </w:pPr>
      <w:r>
        <w:rPr>
          <w:rFonts w:ascii="Times New Roman" w:cs="Times New Roman" w:eastAsia="Times New Roman" w:hAnsi="Times New Roman"/>
          <w:b/>
          <w:bCs/>
          <w:sz w:val="28"/>
          <w:szCs w:val="28"/>
        </w:rPr>
        <w:t xml:space="preserve">9.2 The noradrenergic story is inconsistent, and clonidine is a real objection</w:t>
      </w:r>
    </w:p>
    <w:p>
      <w:pPr>
        <w:spacing w:after="200" w:line="360"/>
        <w:jc w:val="both"/>
      </w:pPr>
      <w:r>
        <w:rPr>
          <w:rFonts w:ascii="Times New Roman" w:cs="Times New Roman" w:eastAsia="Times New Roman" w:hAnsi="Times New Roman"/>
          <w:sz w:val="24"/>
          <w:szCs w:val="24"/>
        </w:rPr>
        <w:t xml:space="preserve">The clonidine finding (Philipsen et al., 2004) points in the opposite direction from a simplistic catecholamine-enhancement model. If benefit occurs, it may come primarily through BH4-related serotonergic support or stress-buffering effects rather than norepinephrine enhancement.</w:t>
      </w:r>
    </w:p>
    <w:p>
      <w:pPr>
        <w:pStyle w:val="Heading2"/>
        <w:spacing w:before="300" w:after="160"/>
      </w:pPr>
      <w:r>
        <w:rPr>
          <w:rFonts w:ascii="Times New Roman" w:cs="Times New Roman" w:eastAsia="Times New Roman" w:hAnsi="Times New Roman"/>
          <w:b/>
          <w:bCs/>
          <w:sz w:val="28"/>
          <w:szCs w:val="28"/>
        </w:rPr>
        <w:t xml:space="preserve">9.3 The clinical vitamin C literature is mixed</w:t>
      </w:r>
    </w:p>
    <w:p>
      <w:pPr>
        <w:spacing w:after="200" w:line="360"/>
        <w:jc w:val="both"/>
      </w:pPr>
      <w:r>
        <w:rPr>
          <w:rFonts w:ascii="Times New Roman" w:cs="Times New Roman" w:eastAsia="Times New Roman" w:hAnsi="Times New Roman"/>
          <w:sz w:val="24"/>
          <w:szCs w:val="24"/>
        </w:rPr>
        <w:t xml:space="preserve">Meta-analytic evidence for mood benefit is not robust (Yosaee et al., 2021; g=0.09, n.s.). BPD-relevant symptom domains—impulsivity, affective lability, interpersonal dysfunction—have not been tested.</w:t>
      </w:r>
    </w:p>
    <w:p>
      <w:pPr>
        <w:pStyle w:val="Heading2"/>
        <w:spacing w:before="300" w:after="160"/>
      </w:pPr>
      <w:r>
        <w:rPr>
          <w:rFonts w:ascii="Times New Roman" w:cs="Times New Roman" w:eastAsia="Times New Roman" w:hAnsi="Times New Roman"/>
          <w:b/>
          <w:bCs/>
          <w:sz w:val="28"/>
          <w:szCs w:val="28"/>
        </w:rPr>
        <w:t xml:space="preserve">9.4 Brain ascorbate homeostasis limits oral supplementation</w:t>
      </w:r>
    </w:p>
    <w:p>
      <w:pPr>
        <w:spacing w:after="200" w:line="360"/>
        <w:jc w:val="both"/>
      </w:pPr>
      <w:r>
        <w:rPr>
          <w:rFonts w:ascii="Times New Roman" w:cs="Times New Roman" w:eastAsia="Times New Roman" w:hAnsi="Times New Roman"/>
          <w:sz w:val="24"/>
          <w:szCs w:val="24"/>
        </w:rPr>
        <w:t xml:space="preserve">Any signal may be strongest in participants with lower baseline status. In replete individuals, the effect may be negligible. This is precisely why a pilot study should measure plasma ascorbate and treat biomarker change as part of the question.</w:t>
      </w:r>
    </w:p>
    <w:p>
      <w:pPr>
        <w:pStyle w:val="Heading2"/>
        <w:spacing w:before="300" w:after="160"/>
      </w:pPr>
      <w:r>
        <w:rPr>
          <w:rFonts w:ascii="Times New Roman" w:cs="Times New Roman" w:eastAsia="Times New Roman" w:hAnsi="Times New Roman"/>
          <w:b/>
          <w:bCs/>
          <w:sz w:val="28"/>
          <w:szCs w:val="28"/>
        </w:rPr>
        <w:t xml:space="preserve">9.5 BPD should not be reduced to a nutritional lever</w:t>
      </w:r>
    </w:p>
    <w:p>
      <w:pPr>
        <w:spacing w:after="200" w:line="360"/>
        <w:jc w:val="both"/>
      </w:pPr>
      <w:r>
        <w:rPr>
          <w:rFonts w:ascii="Times New Roman" w:cs="Times New Roman" w:eastAsia="Times New Roman" w:hAnsi="Times New Roman"/>
          <w:sz w:val="24"/>
          <w:szCs w:val="24"/>
        </w:rPr>
        <w:t xml:space="preserve">If vitamin C were ever to show benefit, it would most plausibly operate as a small adjunctive factor improving stress tolerance or treatment engagement—not as a standalone treatment. The omega-3 literature (d=0.54) provides a ceiling estimate for nutritional supplementation in BPD.</w:t>
      </w:r>
    </w:p>
    <w:p>
      <w:pPr>
        <w:spacing w:after="200" w:line="360"/>
        <w:jc w:val="both"/>
      </w:pPr>
      <w:r>
        <w:rPr>
          <w:rFonts w:ascii="Times New Roman" w:cs="Times New Roman" w:eastAsia="Times New Roman" w:hAnsi="Times New Roman"/>
          <w:sz w:val="24"/>
          <w:szCs w:val="24"/>
        </w:rPr>
        <w:t xml:space="preserve">These objections do not invalidate the hypothesis. They define the standard it must meet.</w:t>
      </w:r>
    </w:p>
    <w:p>
      <w:pPr>
        <w:pStyle w:val="Heading1"/>
        <w:spacing w:before="400" w:after="200"/>
      </w:pPr>
      <w:r>
        <w:rPr>
          <w:rFonts w:ascii="Times New Roman" w:cs="Times New Roman" w:eastAsia="Times New Roman" w:hAnsi="Times New Roman"/>
          <w:b/>
          <w:bCs/>
          <w:sz w:val="32"/>
          <w:szCs w:val="32"/>
        </w:rPr>
        <w:t xml:space="preserve">10. Why a Pilot Trial Is Still Reasonable</w:t>
      </w:r>
    </w:p>
    <w:p>
      <w:pPr>
        <w:spacing w:after="200" w:line="360"/>
        <w:jc w:val="both"/>
      </w:pPr>
      <w:r>
        <w:rPr>
          <w:rFonts w:ascii="Times New Roman" w:cs="Times New Roman" w:eastAsia="Times New Roman" w:hAnsi="Times New Roman"/>
          <w:sz w:val="24"/>
          <w:szCs w:val="24"/>
        </w:rPr>
        <w:t xml:space="preserve">Despite these objections, a pilot trial remains scientifically reasonable for five pragmatic reasons.</w:t>
      </w:r>
    </w:p>
    <w:p>
      <w:pPr>
        <w:spacing w:after="200" w:line="360"/>
        <w:jc w:val="both"/>
      </w:pPr>
      <w:r>
        <w:rPr>
          <w:rFonts w:ascii="Times New Roman" w:cs="Times New Roman" w:eastAsia="Times New Roman" w:hAnsi="Times New Roman"/>
          <w:b/>
          <w:bCs/>
          <w:sz w:val="24"/>
          <w:szCs w:val="24"/>
        </w:rPr>
        <w:t xml:space="preserve">First, </w:t>
      </w:r>
      <w:r>
        <w:rPr>
          <w:rFonts w:ascii="Times New Roman" w:cs="Times New Roman" w:eastAsia="Times New Roman" w:hAnsi="Times New Roman"/>
          <w:sz w:val="24"/>
          <w:szCs w:val="24"/>
        </w:rPr>
        <w:t xml:space="preserve">the mechanistic case is not a single weak chain but a convergence of three partially independent pathways: DβH cofactor activity, BH4-related monoamine support, and NMDA-related modulation.</w:t>
      </w:r>
    </w:p>
    <w:p>
      <w:pPr>
        <w:spacing w:after="200" w:line="360"/>
        <w:jc w:val="both"/>
      </w:pPr>
      <w:r>
        <w:rPr>
          <w:rFonts w:ascii="Times New Roman" w:cs="Times New Roman" w:eastAsia="Times New Roman" w:hAnsi="Times New Roman"/>
          <w:b/>
          <w:bCs/>
          <w:sz w:val="24"/>
          <w:szCs w:val="24"/>
        </w:rPr>
        <w:t xml:space="preserve">Second, </w:t>
      </w:r>
      <w:r>
        <w:rPr>
          <w:rFonts w:ascii="Times New Roman" w:cs="Times New Roman" w:eastAsia="Times New Roman" w:hAnsi="Times New Roman"/>
          <w:sz w:val="24"/>
          <w:szCs w:val="24"/>
        </w:rPr>
        <w:t xml:space="preserve">the intervention is low-cost, familiar, and operationally easy to study.</w:t>
      </w:r>
    </w:p>
    <w:p>
      <w:pPr>
        <w:spacing w:after="200" w:line="360"/>
        <w:jc w:val="both"/>
      </w:pPr>
      <w:r>
        <w:rPr>
          <w:rFonts w:ascii="Times New Roman" w:cs="Times New Roman" w:eastAsia="Times New Roman" w:hAnsi="Times New Roman"/>
          <w:b/>
          <w:bCs/>
          <w:sz w:val="24"/>
          <w:szCs w:val="24"/>
        </w:rPr>
        <w:t xml:space="preserve">Third, </w:t>
      </w:r>
      <w:r>
        <w:rPr>
          <w:rFonts w:ascii="Times New Roman" w:cs="Times New Roman" w:eastAsia="Times New Roman" w:hAnsi="Times New Roman"/>
          <w:sz w:val="24"/>
          <w:szCs w:val="24"/>
        </w:rPr>
        <w:t xml:space="preserve">BPD adjunct research is sparse. Omega-3 trials show that low-risk biological add-ons can be studied meaningfully in this population, even though that precedent does not validate vitamin C itself.</w:t>
      </w:r>
    </w:p>
    <w:p>
      <w:pPr>
        <w:spacing w:after="200" w:line="360"/>
        <w:jc w:val="both"/>
      </w:pPr>
      <w:r>
        <w:rPr>
          <w:rFonts w:ascii="Times New Roman" w:cs="Times New Roman" w:eastAsia="Times New Roman" w:hAnsi="Times New Roman"/>
          <w:b/>
          <w:bCs/>
          <w:sz w:val="24"/>
          <w:szCs w:val="24"/>
        </w:rPr>
        <w:t xml:space="preserve">Fourth, </w:t>
      </w:r>
      <w:r>
        <w:rPr>
          <w:rFonts w:ascii="Times New Roman" w:cs="Times New Roman" w:eastAsia="Times New Roman" w:hAnsi="Times New Roman"/>
          <w:sz w:val="24"/>
          <w:szCs w:val="24"/>
        </w:rPr>
        <w:t xml:space="preserve">DBT provides an ideal platform for an adjunctive trial because it is standardized and evidence-based. The translational question is not whether vitamin C can replace psychotherapy, but whether it can modestly improve outcomes when added to DBT.</w:t>
      </w:r>
    </w:p>
    <w:p>
      <w:pPr>
        <w:spacing w:after="200" w:line="360"/>
        <w:jc w:val="both"/>
      </w:pPr>
      <w:r>
        <w:rPr>
          <w:rFonts w:ascii="Times New Roman" w:cs="Times New Roman" w:eastAsia="Times New Roman" w:hAnsi="Times New Roman"/>
          <w:b/>
          <w:bCs/>
          <w:sz w:val="24"/>
          <w:szCs w:val="24"/>
        </w:rPr>
        <w:t xml:space="preserve">Fifth, </w:t>
      </w:r>
      <w:r>
        <w:rPr>
          <w:rFonts w:ascii="Times New Roman" w:cs="Times New Roman" w:eastAsia="Times New Roman" w:hAnsi="Times New Roman"/>
          <w:sz w:val="24"/>
          <w:szCs w:val="24"/>
        </w:rPr>
        <w:t xml:space="preserve">the study can be designed so that a negative result is still informative. If supplementation raises plasma ascorbate without improving symptoms, that argues against the translational significance of the proposed mechanisms at oral doses.</w:t>
      </w:r>
    </w:p>
    <w:p>
      <w:pPr>
        <w:pStyle w:val="Heading1"/>
        <w:spacing w:before="400" w:after="200"/>
      </w:pPr>
      <w:r>
        <w:rPr>
          <w:rFonts w:ascii="Times New Roman" w:cs="Times New Roman" w:eastAsia="Times New Roman" w:hAnsi="Times New Roman"/>
          <w:b/>
          <w:bCs/>
          <w:sz w:val="32"/>
          <w:szCs w:val="32"/>
        </w:rPr>
        <w:t xml:space="preserve">11. Hypothesis</w:t>
      </w:r>
    </w:p>
    <w:p>
      <w:pPr>
        <w:spacing w:after="200" w:line="360"/>
        <w:jc w:val="both"/>
      </w:pPr>
      <w:r>
        <w:rPr>
          <w:rFonts w:ascii="Times New Roman" w:cs="Times New Roman" w:eastAsia="Times New Roman" w:hAnsi="Times New Roman"/>
          <w:sz w:val="24"/>
          <w:szCs w:val="24"/>
        </w:rPr>
        <w:t xml:space="preserve">We hypothesize that </w:t>
      </w:r>
      <w:r>
        <w:rPr>
          <w:rFonts w:ascii="Times New Roman" w:cs="Times New Roman" w:eastAsia="Times New Roman" w:hAnsi="Times New Roman"/>
          <w:b/>
          <w:bCs/>
          <w:sz w:val="24"/>
          <w:szCs w:val="24"/>
        </w:rPr>
        <w:t xml:space="preserve">ascorbic acid, when added to standard DBT, may produce a small but measurable improvement in overall BPD symptom severity in a subset of patients</w:t>
      </w:r>
      <w:r>
        <w:rPr>
          <w:rFonts w:ascii="Times New Roman" w:cs="Times New Roman" w:eastAsia="Times New Roman" w:hAnsi="Times New Roman"/>
          <w:sz w:val="24"/>
          <w:szCs w:val="24"/>
        </w:rPr>
        <w:t xml:space="preserve">, potentially through combined effects on DβH-dependent catecholamine synthesis, BH4-supported monoamine pathways, and glutamatergic NMDA-related modulation.</w:t>
      </w:r>
    </w:p>
    <w:p>
      <w:pPr>
        <w:spacing w:after="200" w:line="360"/>
        <w:jc w:val="both"/>
      </w:pPr>
      <w:r>
        <w:rPr>
          <w:rFonts w:ascii="Times New Roman" w:cs="Times New Roman" w:eastAsia="Times New Roman" w:hAnsi="Times New Roman"/>
          <w:sz w:val="24"/>
          <w:szCs w:val="24"/>
        </w:rPr>
        <w:t xml:space="preserve">A secondary hypothesis is that any signal, if present, may be stronger in participants with lower baseline ascorbate status, smoking exposure, poorer diet quality, or greater stress-related symptom burden.</w:t>
      </w:r>
    </w:p>
    <w:p>
      <w:pPr>
        <w:spacing w:after="200" w:line="360"/>
        <w:jc w:val="both"/>
      </w:pPr>
      <w:r>
        <w:rPr>
          <w:rFonts w:ascii="Times New Roman" w:cs="Times New Roman" w:eastAsia="Times New Roman" w:hAnsi="Times New Roman"/>
          <w:sz w:val="24"/>
          <w:szCs w:val="24"/>
        </w:rPr>
        <w:t xml:space="preserve">This is a </w:t>
      </w:r>
      <w:r>
        <w:rPr>
          <w:rFonts w:ascii="Times New Roman" w:cs="Times New Roman" w:eastAsia="Times New Roman" w:hAnsi="Times New Roman"/>
          <w:b/>
          <w:bCs/>
          <w:sz w:val="24"/>
          <w:szCs w:val="24"/>
        </w:rPr>
        <w:t xml:space="preserve">speculative, mechanism-led hypothesis</w:t>
      </w:r>
      <w:r>
        <w:rPr>
          <w:rFonts w:ascii="Times New Roman" w:cs="Times New Roman" w:eastAsia="Times New Roman" w:hAnsi="Times New Roman"/>
          <w:sz w:val="24"/>
          <w:szCs w:val="24"/>
        </w:rPr>
        <w:t xml:space="preserve">. It is offered as a basis for empirical testing, not as a conclusion.</w:t>
      </w:r>
    </w:p>
    <w:p>
      <w:pPr>
        <w:pStyle w:val="Heading1"/>
        <w:spacing w:before="400" w:after="200"/>
      </w:pPr>
      <w:r>
        <w:rPr>
          <w:rFonts w:ascii="Times New Roman" w:cs="Times New Roman" w:eastAsia="Times New Roman" w:hAnsi="Times New Roman"/>
          <w:b/>
          <w:bCs/>
          <w:sz w:val="32"/>
          <w:szCs w:val="32"/>
        </w:rPr>
        <w:t xml:space="preserve">12. Pilot Trial Proposal</w:t>
      </w:r>
    </w:p>
    <w:p>
      <w:pPr>
        <w:pStyle w:val="Heading2"/>
        <w:spacing w:before="300" w:after="160"/>
      </w:pPr>
      <w:r>
        <w:rPr>
          <w:rFonts w:ascii="Times New Roman" w:cs="Times New Roman" w:eastAsia="Times New Roman" w:hAnsi="Times New Roman"/>
          <w:b/>
          <w:bCs/>
          <w:sz w:val="28"/>
          <w:szCs w:val="28"/>
        </w:rPr>
        <w:t xml:space="preserve">12.1 Design</w:t>
      </w:r>
    </w:p>
    <w:p>
      <w:pPr>
        <w:spacing w:before="200" w:after="80"/>
      </w:pPr>
      <w:r>
        <w:rPr>
          <w:rFonts w:ascii="Times New Roman" w:cs="Times New Roman" w:eastAsia="Times New Roman" w:hAnsi="Times New Roman"/>
          <w:b/>
          <w:bCs/>
          <w:i/>
          <w:iCs/>
          <w:sz w:val="20"/>
          <w:szCs w:val="20"/>
        </w:rPr>
        <w:t xml:space="preserve">Table 1. </w:t>
      </w:r>
      <w:r>
        <w:rPr>
          <w:rFonts w:ascii="Times New Roman" w:cs="Times New Roman" w:eastAsia="Times New Roman" w:hAnsi="Times New Roman"/>
          <w:i/>
          <w:iCs/>
          <w:sz w:val="20"/>
          <w:szCs w:val="20"/>
        </w:rPr>
        <w:t xml:space="preserve">Proposed pilot trial design.</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600"/>
        <w:gridCol w:w="6426"/>
      </w:tblGrid>
      <w:tr>
        <w:tc>
          <w:tcPr>
            <w:tcW w:type="dxa" w:w="2600"/>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tcPr>
          <w:p>
            <w:pPr>
              <w:spacing w:after="40"/>
            </w:pPr>
            <w:r>
              <w:rPr>
                <w:rFonts w:ascii="Times New Roman" w:cs="Times New Roman" w:eastAsia="Times New Roman" w:hAnsi="Times New Roman"/>
                <w:b/>
                <w:bCs/>
                <w:sz w:val="20"/>
                <w:szCs w:val="20"/>
              </w:rPr>
              <w:t xml:space="preserve">Element</w:t>
            </w:r>
          </w:p>
        </w:tc>
        <w:tc>
          <w:tcPr>
            <w:tcW w:type="dxa" w:w="6426"/>
            <w:tcBorders>
              <w:top w:val="single" w:color="999999" w:sz="1"/>
              <w:left w:val="single" w:color="999999" w:sz="1"/>
              <w:bottom w:val="single" w:color="999999" w:sz="1"/>
              <w:right w:val="single" w:color="999999" w:sz="1"/>
            </w:tcBorders>
            <w:shd w:fill="D9E2F3" w:val="clear"/>
            <w:tcMar>
              <w:top w:type="dxa" w:w="60"/>
              <w:left w:type="dxa" w:w="100"/>
              <w:bottom w:type="dxa" w:w="60"/>
              <w:right w:type="dxa" w:w="100"/>
            </w:tcMar>
          </w:tcPr>
          <w:p>
            <w:pPr>
              <w:spacing w:after="40"/>
            </w:pPr>
            <w:r>
              <w:rPr>
                <w:rFonts w:ascii="Times New Roman" w:cs="Times New Roman" w:eastAsia="Times New Roman" w:hAnsi="Times New Roman"/>
                <w:b/>
                <w:bCs/>
                <w:sz w:val="20"/>
                <w:szCs w:val="20"/>
              </w:rPr>
              <w:t xml:space="preserve">Specification</w:t>
            </w:r>
          </w:p>
        </w:tc>
      </w:tr>
      <w:tr>
        <w:tc>
          <w:tcPr>
            <w:tcW w:type="dxa" w:w="260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40" w:line="276"/>
            </w:pPr>
            <w:r>
              <w:rPr>
                <w:rFonts w:ascii="Times New Roman" w:cs="Times New Roman" w:eastAsia="Times New Roman" w:hAnsi="Times New Roman"/>
                <w:b/>
                <w:bCs/>
                <w:sz w:val="20"/>
                <w:szCs w:val="20"/>
              </w:rPr>
              <w:t xml:space="preserve">Design</w:t>
            </w:r>
          </w:p>
        </w:tc>
        <w:tc>
          <w:tcPr>
            <w:tcW w:type="dxa" w:w="6426"/>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40" w:line="276"/>
            </w:pPr>
            <w:r>
              <w:rPr>
                <w:rFonts w:ascii="Times New Roman" w:cs="Times New Roman" w:eastAsia="Times New Roman" w:hAnsi="Times New Roman"/>
                <w:sz w:val="20"/>
                <w:szCs w:val="20"/>
              </w:rPr>
              <w:t xml:space="preserve">Randomized, double-blind, placebo-controlled, parallel-group pilot trial at a single German DBT center.</w:t>
            </w:r>
          </w:p>
        </w:tc>
      </w:tr>
      <w:tr>
        <w:tc>
          <w:tcPr>
            <w:tcW w:type="dxa" w:w="260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40" w:line="276"/>
            </w:pPr>
            <w:r>
              <w:rPr>
                <w:rFonts w:ascii="Times New Roman" w:cs="Times New Roman" w:eastAsia="Times New Roman" w:hAnsi="Times New Roman"/>
                <w:b/>
                <w:bCs/>
                <w:sz w:val="20"/>
                <w:szCs w:val="20"/>
              </w:rPr>
              <w:t xml:space="preserve">Population</w:t>
            </w:r>
          </w:p>
        </w:tc>
        <w:tc>
          <w:tcPr>
            <w:tcW w:type="dxa" w:w="6426"/>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40" w:line="276"/>
            </w:pPr>
            <w:r>
              <w:rPr>
                <w:rFonts w:ascii="Times New Roman" w:cs="Times New Roman" w:eastAsia="Times New Roman" w:hAnsi="Times New Roman"/>
                <w:sz w:val="20"/>
                <w:szCs w:val="20"/>
              </w:rPr>
              <w:t xml:space="preserve">N=80 adults (18–55) meeting DSM-5 criteria for BPD and enrolled in standard DBT. Exclusions: nephrolithiasis, G6PD deficiency, hemochromatosis, severe hepatic/renal impairment.</w:t>
            </w:r>
          </w:p>
        </w:tc>
      </w:tr>
      <w:tr>
        <w:tc>
          <w:tcPr>
            <w:tcW w:type="dxa" w:w="260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40" w:line="276"/>
            </w:pPr>
            <w:r>
              <w:rPr>
                <w:rFonts w:ascii="Times New Roman" w:cs="Times New Roman" w:eastAsia="Times New Roman" w:hAnsi="Times New Roman"/>
                <w:b/>
                <w:bCs/>
                <w:sz w:val="20"/>
                <w:szCs w:val="20"/>
              </w:rPr>
              <w:t xml:space="preserve">Intervention</w:t>
            </w:r>
          </w:p>
        </w:tc>
        <w:tc>
          <w:tcPr>
            <w:tcW w:type="dxa" w:w="6426"/>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40" w:line="276"/>
            </w:pPr>
            <w:r>
              <w:rPr>
                <w:rFonts w:ascii="Times New Roman" w:cs="Times New Roman" w:eastAsia="Times New Roman" w:hAnsi="Times New Roman"/>
                <w:sz w:val="20"/>
                <w:szCs w:val="20"/>
              </w:rPr>
              <w:t xml:space="preserve">Ascorbic acid 1,000 mg/day (500 mg BID) vs. matched placebo for 24 weeks, both as add-on to DBT.</w:t>
            </w:r>
          </w:p>
        </w:tc>
      </w:tr>
      <w:tr>
        <w:tc>
          <w:tcPr>
            <w:tcW w:type="dxa" w:w="260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40" w:line="276"/>
            </w:pPr>
            <w:r>
              <w:rPr>
                <w:rFonts w:ascii="Times New Roman" w:cs="Times New Roman" w:eastAsia="Times New Roman" w:hAnsi="Times New Roman"/>
                <w:b/>
                <w:bCs/>
                <w:sz w:val="20"/>
                <w:szCs w:val="20"/>
              </w:rPr>
              <w:t xml:space="preserve">Primary outcome</w:t>
            </w:r>
          </w:p>
        </w:tc>
        <w:tc>
          <w:tcPr>
            <w:tcW w:type="dxa" w:w="6426"/>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40" w:line="276"/>
            </w:pPr>
            <w:r>
              <w:rPr>
                <w:rFonts w:ascii="Times New Roman" w:cs="Times New Roman" w:eastAsia="Times New Roman" w:hAnsi="Times New Roman"/>
                <w:sz w:val="20"/>
                <w:szCs w:val="20"/>
              </w:rPr>
              <w:t xml:space="preserve">Borderline Symptom List-23 (BSL-23; Bohus et al., 2009). Assessed at baseline, weeks 4, 8, 12, 16, 20, 24, and 3-month follow-up.</w:t>
            </w:r>
          </w:p>
        </w:tc>
      </w:tr>
      <w:tr>
        <w:tc>
          <w:tcPr>
            <w:tcW w:type="dxa" w:w="260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40" w:line="276"/>
            </w:pPr>
            <w:r>
              <w:rPr>
                <w:rFonts w:ascii="Times New Roman" w:cs="Times New Roman" w:eastAsia="Times New Roman" w:hAnsi="Times New Roman"/>
                <w:b/>
                <w:bCs/>
                <w:sz w:val="20"/>
                <w:szCs w:val="20"/>
              </w:rPr>
              <w:t xml:space="preserve">Secondary outcomes</w:t>
            </w:r>
          </w:p>
        </w:tc>
        <w:tc>
          <w:tcPr>
            <w:tcW w:type="dxa" w:w="6426"/>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40" w:line="276"/>
            </w:pPr>
            <w:r>
              <w:rPr>
                <w:rFonts w:ascii="Times New Roman" w:cs="Times New Roman" w:eastAsia="Times New Roman" w:hAnsi="Times New Roman"/>
                <w:sz w:val="20"/>
                <w:szCs w:val="20"/>
              </w:rPr>
              <w:t xml:space="preserve">Difficulties in Emotion Regulation Scale (DERS; Gratz &amp; Roemer, 2004); Barratt Impulsiveness Scale-11 (BIS-11; Patton et al., 1995); PHQ-9; GAD-7; WHOQOL-BREF; self-harm frequency; treatment retention.</w:t>
            </w:r>
          </w:p>
        </w:tc>
      </w:tr>
      <w:tr>
        <w:tc>
          <w:tcPr>
            <w:tcW w:type="dxa" w:w="260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40" w:line="276"/>
            </w:pPr>
            <w:r>
              <w:rPr>
                <w:rFonts w:ascii="Times New Roman" w:cs="Times New Roman" w:eastAsia="Times New Roman" w:hAnsi="Times New Roman"/>
                <w:b/>
                <w:bCs/>
                <w:sz w:val="20"/>
                <w:szCs w:val="20"/>
              </w:rPr>
              <w:t xml:space="preserve">Safety monitoring</w:t>
            </w:r>
          </w:p>
        </w:tc>
        <w:tc>
          <w:tcPr>
            <w:tcW w:type="dxa" w:w="6426"/>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40" w:line="276"/>
            </w:pPr>
            <w:r>
              <w:rPr>
                <w:rFonts w:ascii="Times New Roman" w:cs="Times New Roman" w:eastAsia="Times New Roman" w:hAnsi="Times New Roman"/>
                <w:sz w:val="20"/>
                <w:szCs w:val="20"/>
              </w:rPr>
              <w:t xml:space="preserve">Columbia Suicide Severity Rating Scale (C-SSRS) at each visit; standard DBT crisis procedures including 24/7 phone coaching; clear discontinuation criteria.</w:t>
            </w:r>
          </w:p>
        </w:tc>
      </w:tr>
      <w:tr>
        <w:tc>
          <w:tcPr>
            <w:tcW w:type="dxa" w:w="260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40" w:line="276"/>
            </w:pPr>
            <w:r>
              <w:rPr>
                <w:rFonts w:ascii="Times New Roman" w:cs="Times New Roman" w:eastAsia="Times New Roman" w:hAnsi="Times New Roman"/>
                <w:b/>
                <w:bCs/>
                <w:sz w:val="20"/>
                <w:szCs w:val="20"/>
              </w:rPr>
              <w:t xml:space="preserve">Exploratory biomarkers</w:t>
            </w:r>
          </w:p>
        </w:tc>
        <w:tc>
          <w:tcPr>
            <w:tcW w:type="dxa" w:w="6426"/>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40" w:line="276"/>
            </w:pPr>
            <w:r>
              <w:rPr>
                <w:rFonts w:ascii="Times New Roman" w:cs="Times New Roman" w:eastAsia="Times New Roman" w:hAnsi="Times New Roman"/>
                <w:sz w:val="20"/>
                <w:szCs w:val="20"/>
              </w:rPr>
              <w:t xml:space="preserve">Plasma ascorbate, HVA, MHPG at baseline, week 12, week 24.</w:t>
            </w:r>
          </w:p>
        </w:tc>
      </w:tr>
      <w:tr>
        <w:tc>
          <w:tcPr>
            <w:tcW w:type="dxa" w:w="260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40" w:line="276"/>
            </w:pPr>
            <w:r>
              <w:rPr>
                <w:rFonts w:ascii="Times New Roman" w:cs="Times New Roman" w:eastAsia="Times New Roman" w:hAnsi="Times New Roman"/>
                <w:b/>
                <w:bCs/>
                <w:sz w:val="20"/>
                <w:szCs w:val="20"/>
              </w:rPr>
              <w:t xml:space="preserve">Analysis</w:t>
            </w:r>
          </w:p>
        </w:tc>
        <w:tc>
          <w:tcPr>
            <w:tcW w:type="dxa" w:w="6426"/>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40" w:line="276"/>
            </w:pPr>
            <w:r>
              <w:rPr>
                <w:rFonts w:ascii="Times New Roman" w:cs="Times New Roman" w:eastAsia="Times New Roman" w:hAnsi="Times New Roman"/>
                <w:sz w:val="20"/>
                <w:szCs w:val="20"/>
              </w:rPr>
              <w:t xml:space="preserve">Mixed-effects model for repeated measures (MMRM). Emphasis on feasibility, effect-size estimation with 95% CI, and confidence intervals per pilot methodology guidelines (Leon et al., 2011).</w:t>
            </w:r>
          </w:p>
        </w:tc>
      </w:tr>
      <w:tr>
        <w:tc>
          <w:tcPr>
            <w:tcW w:type="dxa" w:w="2600"/>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40" w:line="276"/>
            </w:pPr>
            <w:r>
              <w:rPr>
                <w:rFonts w:ascii="Times New Roman" w:cs="Times New Roman" w:eastAsia="Times New Roman" w:hAnsi="Times New Roman"/>
                <w:b/>
                <w:bCs/>
                <w:sz w:val="20"/>
                <w:szCs w:val="20"/>
              </w:rPr>
              <w:t xml:space="preserve">Ethics &amp; registration</w:t>
            </w:r>
          </w:p>
        </w:tc>
        <w:tc>
          <w:tcPr>
            <w:tcW w:type="dxa" w:w="6426"/>
            <w:tcBorders>
              <w:top w:val="single" w:color="999999" w:sz="1"/>
              <w:left w:val="single" w:color="999999" w:sz="1"/>
              <w:bottom w:val="single" w:color="999999" w:sz="1"/>
              <w:right w:val="single" w:color="999999" w:sz="1"/>
            </w:tcBorders>
            <w:tcMar>
              <w:top w:type="dxa" w:w="60"/>
              <w:left w:type="dxa" w:w="100"/>
              <w:bottom w:type="dxa" w:w="60"/>
              <w:right w:type="dxa" w:w="100"/>
            </w:tcMar>
          </w:tcPr>
          <w:p>
            <w:pPr>
              <w:spacing w:after="40" w:line="276"/>
            </w:pPr>
            <w:r>
              <w:rPr>
                <w:rFonts w:ascii="Times New Roman" w:cs="Times New Roman" w:eastAsia="Times New Roman" w:hAnsi="Times New Roman"/>
                <w:sz w:val="20"/>
                <w:szCs w:val="20"/>
              </w:rPr>
              <w:t xml:space="preserve">Ethics committee approval; DRKS registration; Probandenversicherung; extended informed consent with cooling-off period; GDPR/DSGVO compliance.</w:t>
            </w:r>
          </w:p>
        </w:tc>
      </w:tr>
    </w:tbl>
    <w:p>
      <w:pPr>
        <w:spacing w:after="200"/>
      </w:pPr>
    </w:p>
    <w:p>
      <w:pPr>
        <w:pStyle w:val="Heading2"/>
        <w:spacing w:before="300" w:after="160"/>
      </w:pPr>
      <w:r>
        <w:rPr>
          <w:rFonts w:ascii="Times New Roman" w:cs="Times New Roman" w:eastAsia="Times New Roman" w:hAnsi="Times New Roman"/>
          <w:b/>
          <w:bCs/>
          <w:sz w:val="28"/>
          <w:szCs w:val="28"/>
        </w:rPr>
        <w:t xml:space="preserve">12.2 Biomarker Strategy</w:t>
      </w:r>
    </w:p>
    <w:p>
      <w:pPr>
        <w:spacing w:after="200" w:line="360"/>
        <w:jc w:val="both"/>
      </w:pPr>
      <w:r>
        <w:rPr>
          <w:rFonts w:ascii="Times New Roman" w:cs="Times New Roman" w:eastAsia="Times New Roman" w:hAnsi="Times New Roman"/>
          <w:sz w:val="24"/>
          <w:szCs w:val="24"/>
        </w:rPr>
        <w:t xml:space="preserve">Plasma ascorbate serves primarily as a compliance and exposure marker. HVA and MHPG are exploratory rather than decisive: changes would not prove synaptic catecholamine normalization, but they could indicate whether the clinical hypothesis moves in the expected biological direction. If symptom change occurred without biomarker movement, the mechanistic interpretation would need to shift toward stress-buffering or glutamatergic pathways.</w:t>
      </w:r>
    </w:p>
    <w:p>
      <w:pPr>
        <w:pStyle w:val="Heading2"/>
        <w:spacing w:before="300" w:after="160"/>
      </w:pPr>
      <w:r>
        <w:rPr>
          <w:rFonts w:ascii="Times New Roman" w:cs="Times New Roman" w:eastAsia="Times New Roman" w:hAnsi="Times New Roman"/>
          <w:b/>
          <w:bCs/>
          <w:sz w:val="28"/>
          <w:szCs w:val="28"/>
        </w:rPr>
        <w:t xml:space="preserve">12.3 Feasibility, Cost, and Funding</w:t>
      </w:r>
    </w:p>
    <w:p>
      <w:pPr>
        <w:spacing w:after="200" w:line="360"/>
        <w:jc w:val="both"/>
      </w:pPr>
      <w:r>
        <w:rPr>
          <w:rFonts w:ascii="Times New Roman" w:cs="Times New Roman" w:eastAsia="Times New Roman" w:hAnsi="Times New Roman"/>
          <w:sz w:val="24"/>
          <w:szCs w:val="24"/>
        </w:rPr>
        <w:t xml:space="preserve">Estimated total cost: €300,000–380,000, covering personnel, biomarker assays (~€48,000), vitamin C and placebo manufacture, ethics and insurance, and data management. Several German funding mechanisms are suitable for a trial at this scale:</w:t>
      </w:r>
    </w:p>
    <w:p>
      <w:pPr>
        <w:spacing w:after="200" w:line="360"/>
        <w:jc w:val="both"/>
      </w:pPr>
      <w:r>
        <w:rPr>
          <w:rFonts w:ascii="Times New Roman" w:cs="Times New Roman" w:eastAsia="Times New Roman" w:hAnsi="Times New Roman"/>
          <w:b/>
          <w:bCs/>
          <w:sz w:val="24"/>
          <w:szCs w:val="24"/>
        </w:rPr>
        <w:t xml:space="preserve">DFG Clinical Trials Programme: </w:t>
      </w:r>
      <w:r>
        <w:rPr>
          <w:rFonts w:ascii="Times New Roman" w:cs="Times New Roman" w:eastAsia="Times New Roman" w:hAnsi="Times New Roman"/>
          <w:sz w:val="24"/>
          <w:szCs w:val="24"/>
        </w:rPr>
        <w:t xml:space="preserve">accepts investigator-initiated applications year-round for trials in this budget range.</w:t>
      </w:r>
    </w:p>
    <w:p>
      <w:pPr>
        <w:spacing w:after="200" w:line="360"/>
        <w:jc w:val="both"/>
      </w:pPr>
      <w:r>
        <w:rPr>
          <w:rFonts w:ascii="Times New Roman" w:cs="Times New Roman" w:eastAsia="Times New Roman" w:hAnsi="Times New Roman"/>
          <w:b/>
          <w:bCs/>
          <w:sz w:val="24"/>
          <w:szCs w:val="24"/>
        </w:rPr>
        <w:t xml:space="preserve">VolkswagenStiftung “Experiment!”: </w:t>
      </w:r>
      <w:r>
        <w:rPr>
          <w:rFonts w:ascii="Times New Roman" w:cs="Times New Roman" w:eastAsia="Times New Roman" w:hAnsi="Times New Roman"/>
          <w:sz w:val="24"/>
          <w:szCs w:val="24"/>
        </w:rPr>
        <w:t xml:space="preserve">specifically funds unconventional research ideas with up to €120,000 for 18 months.</w:t>
      </w:r>
    </w:p>
    <w:p>
      <w:pPr>
        <w:spacing w:after="200" w:line="360"/>
        <w:jc w:val="both"/>
      </w:pPr>
      <w:r>
        <w:rPr>
          <w:rFonts w:ascii="Times New Roman" w:cs="Times New Roman" w:eastAsia="Times New Roman" w:hAnsi="Times New Roman"/>
          <w:b/>
          <w:bCs/>
          <w:sz w:val="24"/>
          <w:szCs w:val="24"/>
        </w:rPr>
        <w:t xml:space="preserve">Deutsches Zentrum für Psychische Gesundheit (DZPG): </w:t>
      </w:r>
      <w:r>
        <w:rPr>
          <w:rFonts w:ascii="Times New Roman" w:cs="Times New Roman" w:eastAsia="Times New Roman" w:hAnsi="Times New Roman"/>
          <w:sz w:val="24"/>
          <w:szCs w:val="24"/>
        </w:rPr>
        <w:t xml:space="preserve">established 2023 by the BMBF, with a site at the Central Institute of Mental Health in Mannheim—where the BSL-23 was developed—representing an ideal institutional partner.</w:t>
      </w:r>
    </w:p>
    <w:p>
      <w:pPr>
        <w:spacing w:after="200" w:line="360"/>
        <w:jc w:val="both"/>
      </w:pPr>
      <w:r>
        <w:rPr>
          <w:rFonts w:ascii="Times New Roman" w:cs="Times New Roman" w:eastAsia="Times New Roman" w:hAnsi="Times New Roman"/>
          <w:sz w:val="24"/>
          <w:szCs w:val="24"/>
        </w:rPr>
        <w:t xml:space="preserve">The trial’s low substance cost and use of existing DBT infrastructure make it unusually cost-effective relative to pharmaceutical RCTs.</w:t>
      </w:r>
    </w:p>
    <w:p>
      <w:pPr>
        <w:pStyle w:val="Heading1"/>
        <w:spacing w:before="400" w:after="200"/>
      </w:pPr>
      <w:r>
        <w:rPr>
          <w:rFonts w:ascii="Times New Roman" w:cs="Times New Roman" w:eastAsia="Times New Roman" w:hAnsi="Times New Roman"/>
          <w:b/>
          <w:bCs/>
          <w:sz w:val="32"/>
          <w:szCs w:val="32"/>
        </w:rPr>
        <w:t xml:space="preserve">13. Interpreting Positive and Negative Results</w:t>
      </w:r>
    </w:p>
    <w:p>
      <w:pPr>
        <w:spacing w:after="200" w:line="360"/>
        <w:jc w:val="both"/>
      </w:pPr>
      <w:r>
        <w:rPr>
          <w:rFonts w:ascii="Times New Roman" w:cs="Times New Roman" w:eastAsia="Times New Roman" w:hAnsi="Times New Roman"/>
          <w:sz w:val="24"/>
          <w:szCs w:val="24"/>
        </w:rPr>
        <w:t xml:space="preserve">A positive pilot result would </w:t>
      </w:r>
      <w:r>
        <w:rPr>
          <w:rFonts w:ascii="Times New Roman" w:cs="Times New Roman" w:eastAsia="Times New Roman" w:hAnsi="Times New Roman"/>
          <w:b/>
          <w:bCs/>
          <w:sz w:val="24"/>
          <w:szCs w:val="24"/>
        </w:rPr>
        <w:t xml:space="preserve">not</w:t>
      </w:r>
      <w:r>
        <w:rPr>
          <w:rFonts w:ascii="Times New Roman" w:cs="Times New Roman" w:eastAsia="Times New Roman" w:hAnsi="Times New Roman"/>
          <w:sz w:val="24"/>
          <w:szCs w:val="24"/>
        </w:rPr>
        <w:t xml:space="preserve"> show that vitamin C “treats BPD.” At most, it would justify a larger, stratified trial with attention to baseline ascorbate status, smoking, diet, and symptom subtypes (hyperarousal vs. impulsive dyscontrol vs. affective instability). The biomarker panel would help test whether any clinical signal tracks with catecholamine-metabolite shifts or with nutritional correction.</w:t>
      </w:r>
    </w:p>
    <w:p>
      <w:pPr>
        <w:spacing w:after="200" w:line="360"/>
        <w:jc w:val="both"/>
      </w:pPr>
      <w:r>
        <w:rPr>
          <w:rFonts w:ascii="Times New Roman" w:cs="Times New Roman" w:eastAsia="Times New Roman" w:hAnsi="Times New Roman"/>
          <w:sz w:val="24"/>
          <w:szCs w:val="24"/>
        </w:rPr>
        <w:t xml:space="preserve">A negative result would be equally informative. If supplementation reliably raises plasma ascorbate without changing symptoms, that argues against the translational relevance of the proposed mechanisms at ordinary oral doses. If plasma ascorbate does not rise (indicating non-compliance or malabsorption), the trial would be uninformative about the hypothesis but informative about feasibility. Either outcome sharpens the field.</w:t>
      </w:r>
    </w:p>
    <w:p>
      <w:pPr>
        <w:pStyle w:val="Heading1"/>
        <w:spacing w:before="400" w:after="200"/>
      </w:pPr>
      <w:r>
        <w:rPr>
          <w:rFonts w:ascii="Times New Roman" w:cs="Times New Roman" w:eastAsia="Times New Roman" w:hAnsi="Times New Roman"/>
          <w:b/>
          <w:bCs/>
          <w:sz w:val="32"/>
          <w:szCs w:val="32"/>
        </w:rPr>
        <w:t xml:space="preserve">14. Conclusion</w:t>
      </w:r>
    </w:p>
    <w:p>
      <w:pPr>
        <w:spacing w:after="200" w:line="360"/>
        <w:jc w:val="both"/>
      </w:pPr>
      <w:r>
        <w:rPr>
          <w:rFonts w:ascii="Times New Roman" w:cs="Times New Roman" w:eastAsia="Times New Roman" w:hAnsi="Times New Roman"/>
          <w:sz w:val="24"/>
          <w:szCs w:val="24"/>
        </w:rPr>
        <w:t xml:space="preserve">Ascorbic acid is a biologically credible but clinically unproven candidate adjunctive intervention in BPD. The rationale rests on three converging mechanisms: a very strong biochemical role as a DβH cofactor, a moderate-to-strong preclinical role in BH4-dependent monoamine synthesis engaging both catecholamine and serotonin pathways, and a strong preclinical but clinically unvalidated role in NMDA modulation. Against this stand serious limitations: catecholamine dysfunction in BPD is not directly established; noradrenergic findings are inconsistent and clonidine provides a genuine counter-signal; oral supplementation may have limited impact on brain ascorbate in replete individuals; and the human psychiatric intervention literature is mixed.</w:t>
      </w:r>
    </w:p>
    <w:p>
      <w:pPr>
        <w:spacing w:after="200" w:line="360"/>
        <w:jc w:val="both"/>
      </w:pPr>
      <w:r>
        <w:rPr>
          <w:rFonts w:ascii="Times New Roman" w:cs="Times New Roman" w:eastAsia="Times New Roman" w:hAnsi="Times New Roman"/>
          <w:sz w:val="24"/>
          <w:szCs w:val="24"/>
        </w:rPr>
        <w:t xml:space="preserve">What justifies pursuing the idea is not certainty, but testability combined with an exceptionally favorable cost-risk ratio and a clinical population with few validated adjunctive options. A small, well-designed pilot could determine whether the hypothesis deserves to be abandoned or pursued further.</w:t>
      </w:r>
    </w:p>
    <w:p>
      <w:pPr>
        <w:spacing w:after="200" w:line="360"/>
        <w:jc w:val="both"/>
      </w:pPr>
      <w:r>
        <w:rPr>
          <w:rFonts w:ascii="Times New Roman" w:cs="Times New Roman" w:eastAsia="Times New Roman" w:hAnsi="Times New Roman"/>
          <w:b/>
          <w:bCs/>
          <w:sz w:val="24"/>
          <w:szCs w:val="24"/>
        </w:rPr>
        <w:t xml:space="preserve">This paper is an invitation to test an idea, not a claim that the idea is correct.</w:t>
      </w:r>
    </w:p>
    <w:p>
      <w:r>
        <w:br w:type="page"/>
      </w:r>
    </w:p>
    <w:p>
      <w:pPr>
        <w:pStyle w:val="Heading1"/>
        <w:spacing w:before="400" w:after="200"/>
      </w:pPr>
      <w:r>
        <w:rPr>
          <w:rFonts w:ascii="Times New Roman" w:cs="Times New Roman" w:eastAsia="Times New Roman" w:hAnsi="Times New Roman"/>
          <w:b/>
          <w:bCs/>
          <w:sz w:val="32"/>
          <w:szCs w:val="32"/>
        </w:rPr>
        <w:t xml:space="preserve">References</w:t>
      </w:r>
    </w:p>
    <w:p>
      <w:pPr>
        <w:spacing w:after="100" w:line="276"/>
        <w:ind w:left="720" w:hanging="720"/>
      </w:pPr>
      <w:r>
        <w:rPr>
          <w:rFonts w:ascii="Times New Roman" w:cs="Times New Roman" w:eastAsia="Times New Roman" w:hAnsi="Times New Roman"/>
          <w:sz w:val="20"/>
          <w:szCs w:val="20"/>
        </w:rPr>
        <w:t xml:space="preserve">Amr M, El-Mogy A, Shams T, Viber K, Courtney D. Efficacy of vitamin C as an adjunct to fluoxetine therapy in pediatric major depressive disorder: a randomized, double-blind, placebo-controlled pilot study. Nutr J. 2013;12:31. doi:10.1186/1475-2891-12-31</w:t>
      </w:r>
    </w:p>
    <w:p>
      <w:pPr>
        <w:spacing w:after="100" w:line="276"/>
        <w:ind w:left="720" w:hanging="720"/>
      </w:pPr>
      <w:r>
        <w:rPr>
          <w:rFonts w:ascii="Times New Roman" w:cs="Times New Roman" w:eastAsia="Times New Roman" w:hAnsi="Times New Roman"/>
          <w:sz w:val="20"/>
          <w:szCs w:val="20"/>
        </w:rPr>
        <w:t xml:space="preserve">Bari V, Bhulani N, Asghar M, Ali A. Mild vitamin C deficiency is common in the inpatient psychiatric setting. J Clin Psychiatry. 2023;84(5):23m14909. doi:10.4088/JCP.23m14909</w:t>
      </w:r>
    </w:p>
    <w:p>
      <w:pPr>
        <w:spacing w:after="100" w:line="276"/>
        <w:ind w:left="720" w:hanging="720"/>
      </w:pPr>
      <w:r>
        <w:rPr>
          <w:rFonts w:ascii="Times New Roman" w:cs="Times New Roman" w:eastAsia="Times New Roman" w:hAnsi="Times New Roman"/>
          <w:sz w:val="20"/>
          <w:szCs w:val="20"/>
        </w:rPr>
        <w:t xml:space="preserve">Bohus M, Kleindienst N, Limberger MF, et al. The short version of the Borderline Symptom List (BSL-23): development and initial data on psychometric properties. Psychopathology. 2009;42(1):32–39. doi:10.1159/000173701</w:t>
      </w:r>
    </w:p>
    <w:p>
      <w:pPr>
        <w:spacing w:after="100" w:line="276"/>
        <w:ind w:left="720" w:hanging="720"/>
      </w:pPr>
      <w:r>
        <w:rPr>
          <w:rFonts w:ascii="Times New Roman" w:cs="Times New Roman" w:eastAsia="Times New Roman" w:hAnsi="Times New Roman"/>
          <w:sz w:val="20"/>
          <w:szCs w:val="20"/>
        </w:rPr>
        <w:t xml:space="preserve">Brody S, Preut R, Schommer K, Schürmeyer TH. A randomized controlled trial of high dose ascorbic acid for reduction of blood pressure, cortisol, and subjective responses to psychological stress. Psychopharmacology (Berl). 2002;159(3):319–324. doi:10.1007/s00213-001-0929-6</w:t>
      </w:r>
    </w:p>
    <w:p>
      <w:pPr>
        <w:spacing w:after="100" w:line="276"/>
        <w:ind w:left="720" w:hanging="720"/>
      </w:pPr>
      <w:r>
        <w:rPr>
          <w:rFonts w:ascii="Times New Roman" w:cs="Times New Roman" w:eastAsia="Times New Roman" w:hAnsi="Times New Roman"/>
          <w:sz w:val="20"/>
          <w:szCs w:val="20"/>
        </w:rPr>
        <w:t xml:space="preserve">Coccaro EF, Siever LJ, Klar HM, et al. Serotonergic studies in patients with affective and personality disorders. Arch Gen Psychiatry. 1989;46(7):587–599. doi:10.1001/archpsyc.1989.01810070013002</w:t>
      </w:r>
    </w:p>
    <w:p>
      <w:pPr>
        <w:spacing w:after="100" w:line="276"/>
        <w:ind w:left="720" w:hanging="720"/>
      </w:pPr>
      <w:r>
        <w:rPr>
          <w:rFonts w:ascii="Times New Roman" w:cs="Times New Roman" w:eastAsia="Times New Roman" w:hAnsi="Times New Roman"/>
          <w:sz w:val="20"/>
          <w:szCs w:val="20"/>
        </w:rPr>
        <w:t xml:space="preserve">Coccaro EF, Kavoussi RJ, Cooper TB, Hauger RL. Norepinephrine function in personality disorder: plasma free MHPG correlates inversely with life history of aggression. CNS Spectr. 2003;8(10):731–736. doi:10.1017/S1092852900019106</w:t>
      </w:r>
    </w:p>
    <w:p>
      <w:pPr>
        <w:spacing w:after="100" w:line="276"/>
        <w:ind w:left="720" w:hanging="720"/>
      </w:pPr>
      <w:r>
        <w:rPr>
          <w:rFonts w:ascii="Times New Roman" w:cs="Times New Roman" w:eastAsia="Times New Roman" w:hAnsi="Times New Roman"/>
          <w:sz w:val="20"/>
          <w:szCs w:val="20"/>
        </w:rPr>
        <w:t xml:space="preserve">Friedel RO. Dopamine dysfunction in borderline personality disorder: a hypothesis. Neuropsychopharmacology. 2004;29(6):1029–1039. doi:10.1038/sj.npp.1300424</w:t>
      </w:r>
    </w:p>
    <w:p>
      <w:pPr>
        <w:spacing w:after="100" w:line="276"/>
        <w:ind w:left="720" w:hanging="720"/>
      </w:pPr>
      <w:r>
        <w:rPr>
          <w:rFonts w:ascii="Times New Roman" w:cs="Times New Roman" w:eastAsia="Times New Roman" w:hAnsi="Times New Roman"/>
          <w:sz w:val="20"/>
          <w:szCs w:val="20"/>
        </w:rPr>
        <w:t xml:space="preserve">Gardner DL, Lucas PB, Cowdry RW. CSF metabolites in borderline personality disorder compared with normal controls. Biol Psychiatry. 1990;28(3):247–254. doi:10.1016/0006-3223(90)90504-M</w:t>
      </w:r>
    </w:p>
    <w:p>
      <w:pPr>
        <w:spacing w:after="100" w:line="276"/>
        <w:ind w:left="720" w:hanging="720"/>
      </w:pPr>
      <w:r>
        <w:rPr>
          <w:rFonts w:ascii="Times New Roman" w:cs="Times New Roman" w:eastAsia="Times New Roman" w:hAnsi="Times New Roman"/>
          <w:sz w:val="20"/>
          <w:szCs w:val="20"/>
        </w:rPr>
        <w:t xml:space="preserve">Gratz KL, Roemer L. Multidimensional assessment of emotion regulation and dysregulation. J Psychopathol Behav Assess. 2004;26(1):41–54. doi:10.1023/B:JOBA.0000007455.08539.94</w:t>
      </w:r>
    </w:p>
    <w:p>
      <w:pPr>
        <w:spacing w:after="100" w:line="276"/>
        <w:ind w:left="720" w:hanging="720"/>
      </w:pPr>
      <w:r>
        <w:rPr>
          <w:rFonts w:ascii="Times New Roman" w:cs="Times New Roman" w:eastAsia="Times New Roman" w:hAnsi="Times New Roman"/>
          <w:sz w:val="20"/>
          <w:szCs w:val="20"/>
        </w:rPr>
        <w:t xml:space="preserve">Grosjean B, Tsai GE. NMDA neurotransmission as a critical mediator of borderline personality disorder. J Psychiatry Neurosci. 2007;32(2):103–115.</w:t>
      </w:r>
    </w:p>
    <w:p>
      <w:pPr>
        <w:spacing w:after="100" w:line="276"/>
        <w:ind w:left="720" w:hanging="720"/>
      </w:pPr>
      <w:r>
        <w:rPr>
          <w:rFonts w:ascii="Times New Roman" w:cs="Times New Roman" w:eastAsia="Times New Roman" w:hAnsi="Times New Roman"/>
          <w:sz w:val="20"/>
          <w:szCs w:val="20"/>
        </w:rPr>
        <w:t xml:space="preserve">Gutknecht L, Jacob C, Strobel A, et al. Tryptophan hydroxylase-2 gene variation influences personality traits and disorders related to emotional dysregulation. Int J Neuropsychopharmacol. 2007;10(3):309–320. doi:10.1017/S1461145706007266</w:t>
      </w:r>
    </w:p>
    <w:p>
      <w:pPr>
        <w:spacing w:after="100" w:line="276"/>
        <w:ind w:left="720" w:hanging="720"/>
      </w:pPr>
      <w:r>
        <w:rPr>
          <w:rFonts w:ascii="Times New Roman" w:cs="Times New Roman" w:eastAsia="Times New Roman" w:hAnsi="Times New Roman"/>
          <w:sz w:val="20"/>
          <w:szCs w:val="20"/>
        </w:rPr>
        <w:t xml:space="preserve">Harrison FE, Dawes SM, Meredith ME, et al. Low vitamin C and increased oxidative stress and cell death in mice that lack SVCT2. Free Radic Biol Med. 2010;49(5):821–829. doi:10.1016/j.freeradbiomed.2010.06.008</w:t>
      </w:r>
    </w:p>
    <w:p>
      <w:pPr>
        <w:spacing w:after="100" w:line="276"/>
        <w:ind w:left="720" w:hanging="720"/>
      </w:pPr>
      <w:r>
        <w:rPr>
          <w:rFonts w:ascii="Times New Roman" w:cs="Times New Roman" w:eastAsia="Times New Roman" w:hAnsi="Times New Roman"/>
          <w:sz w:val="20"/>
          <w:szCs w:val="20"/>
        </w:rPr>
        <w:t xml:space="preserve">Harrison FE, May JM. Vitamin C function in the brain: vital role of the ascorbate transporter SVCT2. Free Radic Biol Med. 2009;46(6):719–730. doi:10.1016/j.freeradbiomed.2008.12.018</w:t>
      </w:r>
    </w:p>
    <w:p>
      <w:pPr>
        <w:spacing w:after="100" w:line="276"/>
        <w:ind w:left="720" w:hanging="720"/>
      </w:pPr>
      <w:r>
        <w:rPr>
          <w:rFonts w:ascii="Times New Roman" w:cs="Times New Roman" w:eastAsia="Times New Roman" w:hAnsi="Times New Roman"/>
          <w:sz w:val="20"/>
          <w:szCs w:val="20"/>
        </w:rPr>
        <w:t xml:space="preserve">Hess C, Reif A, Strobel A, et al. A functional dopamine-β-hydroxylase gene promoter polymorphism is associated with impulsive personality styles. J Neural Transm. 2009;116(2):121–130. doi:10.1007/s00702-008-0148-1</w:t>
      </w:r>
    </w:p>
    <w:p>
      <w:pPr>
        <w:spacing w:after="100" w:line="276"/>
        <w:ind w:left="720" w:hanging="720"/>
      </w:pPr>
      <w:r>
        <w:rPr>
          <w:rFonts w:ascii="Times New Roman" w:cs="Times New Roman" w:eastAsia="Times New Roman" w:hAnsi="Times New Roman"/>
          <w:sz w:val="20"/>
          <w:szCs w:val="20"/>
        </w:rPr>
        <w:t xml:space="preserve">Joyce PR, McHugh PC, McKenzie JM, et al. A dopamine transporter polymorphism is a risk factor for borderline personality disorder in depressed patients. Psychol Med. 2006;36(6):807–813. doi:10.1017/S0033291706007288</w:t>
      </w:r>
    </w:p>
    <w:p>
      <w:pPr>
        <w:spacing w:after="100" w:line="276"/>
        <w:ind w:left="720" w:hanging="720"/>
      </w:pPr>
      <w:r>
        <w:rPr>
          <w:rFonts w:ascii="Times New Roman" w:cs="Times New Roman" w:eastAsia="Times New Roman" w:hAnsi="Times New Roman"/>
          <w:sz w:val="20"/>
          <w:szCs w:val="20"/>
        </w:rPr>
        <w:t xml:space="preserve">Karaszewska DM, Ingenhoven T, Mocking RJT. Marine omega-3 fatty acid supplementation for borderline personality disorder: a meta-analysis. J Clin Psychiatry. 2021;82(3):20r13613. doi:10.4088/JCP.20r13613</w:t>
      </w:r>
    </w:p>
    <w:p>
      <w:pPr>
        <w:spacing w:after="100" w:line="276"/>
        <w:ind w:left="720" w:hanging="720"/>
      </w:pPr>
      <w:r>
        <w:rPr>
          <w:rFonts w:ascii="Times New Roman" w:cs="Times New Roman" w:eastAsia="Times New Roman" w:hAnsi="Times New Roman"/>
          <w:sz w:val="20"/>
          <w:szCs w:val="20"/>
        </w:rPr>
        <w:t xml:space="preserve">Kleindienst N, Jungkunz M, Bohus M. A proposed severity classification of borderline symptoms using the BSL-23. Borderline Personal Disord Emot Dysregul. 2020;7:19. doi:10.1186/s40479-020-00126-6</w:t>
      </w:r>
    </w:p>
    <w:p>
      <w:pPr>
        <w:spacing w:after="100" w:line="276"/>
        <w:ind w:left="720" w:hanging="720"/>
      </w:pPr>
      <w:r>
        <w:rPr>
          <w:rFonts w:ascii="Times New Roman" w:cs="Times New Roman" w:eastAsia="Times New Roman" w:hAnsi="Times New Roman"/>
          <w:sz w:val="20"/>
          <w:szCs w:val="20"/>
        </w:rPr>
        <w:t xml:space="preserve">Leichsenring F, Leibing E, Kruse J, New AS, Leweke F. Borderline personality disorder. Lancet. 2011;377(9759):74–84. doi:10.1016/S0140-6736(10)61422-5</w:t>
      </w:r>
    </w:p>
    <w:p>
      <w:pPr>
        <w:spacing w:after="100" w:line="276"/>
        <w:ind w:left="720" w:hanging="720"/>
      </w:pPr>
      <w:r>
        <w:rPr>
          <w:rFonts w:ascii="Times New Roman" w:cs="Times New Roman" w:eastAsia="Times New Roman" w:hAnsi="Times New Roman"/>
          <w:sz w:val="20"/>
          <w:szCs w:val="20"/>
        </w:rPr>
        <w:t xml:space="preserve">Leon AC, Davis LL, Kraemer HC. The role and interpretation of pilot studies in clinical research. J Psychiatr Res. 2011;45(5):626–629. doi:10.1016/j.jpsychires.2010.10.008</w:t>
      </w:r>
    </w:p>
    <w:p>
      <w:pPr>
        <w:spacing w:after="100" w:line="276"/>
        <w:ind w:left="720" w:hanging="720"/>
      </w:pPr>
      <w:r>
        <w:rPr>
          <w:rFonts w:ascii="Times New Roman" w:cs="Times New Roman" w:eastAsia="Times New Roman" w:hAnsi="Times New Roman"/>
          <w:sz w:val="20"/>
          <w:szCs w:val="20"/>
        </w:rPr>
        <w:t xml:space="preserve">Levin EY, Levenberg B, Kaufman S. The enzymatic conversion of 3,4-dihydroxyphenylethylamine to norepinephrine. J Biol Chem. 1960;235:2080–2086.</w:t>
      </w:r>
    </w:p>
    <w:p>
      <w:pPr>
        <w:spacing w:after="100" w:line="276"/>
        <w:ind w:left="720" w:hanging="720"/>
      </w:pPr>
      <w:r>
        <w:rPr>
          <w:rFonts w:ascii="Times New Roman" w:cs="Times New Roman" w:eastAsia="Times New Roman" w:hAnsi="Times New Roman"/>
          <w:sz w:val="20"/>
          <w:szCs w:val="20"/>
        </w:rPr>
        <w:t xml:space="preserve">Leyton M, Okazawa H, Diksic M, et al. Brain regional α-[11C]methyl-L-tryptophan trapping in impulsive subjects with borderline personality disorder. Am J Psychiatry. 2001;158(5):775–782. doi:10.1176/appi.ajp.158.5.775</w:t>
      </w:r>
    </w:p>
    <w:p>
      <w:pPr>
        <w:spacing w:after="100" w:line="276"/>
        <w:ind w:left="720" w:hanging="720"/>
      </w:pPr>
      <w:r>
        <w:rPr>
          <w:rFonts w:ascii="Times New Roman" w:cs="Times New Roman" w:eastAsia="Times New Roman" w:hAnsi="Times New Roman"/>
          <w:sz w:val="20"/>
          <w:szCs w:val="20"/>
        </w:rPr>
        <w:t xml:space="preserve">Lykkesfeldt J, Tveden-Nyborg P. The pharmacokinetics of vitamin C. Nutrients. 2019;11(10):2412. doi:10.3390/nu11102412</w:t>
      </w:r>
    </w:p>
    <w:p>
      <w:pPr>
        <w:spacing w:after="100" w:line="276"/>
        <w:ind w:left="720" w:hanging="720"/>
      </w:pPr>
      <w:r>
        <w:rPr>
          <w:rFonts w:ascii="Times New Roman" w:cs="Times New Roman" w:eastAsia="Times New Roman" w:hAnsi="Times New Roman"/>
          <w:sz w:val="20"/>
          <w:szCs w:val="20"/>
        </w:rPr>
        <w:t xml:space="preserve">Majewska MD, Bell JA, London ED. Regulation of the NMDA receptor by redox phenomena: inhibitory role of ascorbate. Brain Res. 1990;537(1–2):328–332. doi:10.1016/0006-8993(90)90379-P</w:t>
      </w:r>
    </w:p>
    <w:p>
      <w:pPr>
        <w:spacing w:after="100" w:line="276"/>
        <w:ind w:left="720" w:hanging="720"/>
      </w:pPr>
      <w:r>
        <w:rPr>
          <w:rFonts w:ascii="Times New Roman" w:cs="Times New Roman" w:eastAsia="Times New Roman" w:hAnsi="Times New Roman"/>
          <w:sz w:val="20"/>
          <w:szCs w:val="20"/>
        </w:rPr>
        <w:t xml:space="preserve">May JM, Qu ZC, Nazarewicz R, Dikalov S. Ascorbic acid efficiently enhances neuronal synthesis of norepinephrine from dopamine. Brain Res Bull. 2013;90:35–42. doi:10.1016/j.brainresbull.2012.09.009</w:t>
      </w:r>
    </w:p>
    <w:p>
      <w:pPr>
        <w:spacing w:after="100" w:line="276"/>
        <w:ind w:left="720" w:hanging="720"/>
      </w:pPr>
      <w:r>
        <w:rPr>
          <w:rFonts w:ascii="Times New Roman" w:cs="Times New Roman" w:eastAsia="Times New Roman" w:hAnsi="Times New Roman"/>
          <w:sz w:val="20"/>
          <w:szCs w:val="20"/>
        </w:rPr>
        <w:t xml:space="preserve">May JM, Qu ZC, Meredith ME. Mechanisms of ascorbic acid stimulation of norepinephrine synthesis in neuronal cells. Biochem Biophys Res Commun. 2012;426(1):148–152. doi:10.1016/j.bbrc.2012.08.054</w:t>
      </w:r>
    </w:p>
    <w:p>
      <w:pPr>
        <w:spacing w:after="100" w:line="276"/>
        <w:ind w:left="720" w:hanging="720"/>
      </w:pPr>
      <w:r>
        <w:rPr>
          <w:rFonts w:ascii="Times New Roman" w:cs="Times New Roman" w:eastAsia="Times New Roman" w:hAnsi="Times New Roman"/>
          <w:sz w:val="20"/>
          <w:szCs w:val="20"/>
        </w:rPr>
        <w:t xml:space="preserve">Moretti M, Budni J, Freitas AE, et al. Ascorbic acid to manage psychiatric disorders. CNS Drugs. 2017;31(7):571–583. doi:10.1007/s40263-017-0446-8</w:t>
      </w:r>
    </w:p>
    <w:p>
      <w:pPr>
        <w:spacing w:after="100" w:line="276"/>
        <w:ind w:left="720" w:hanging="720"/>
      </w:pPr>
      <w:r>
        <w:rPr>
          <w:rFonts w:ascii="Times New Roman" w:cs="Times New Roman" w:eastAsia="Times New Roman" w:hAnsi="Times New Roman"/>
          <w:sz w:val="20"/>
          <w:szCs w:val="20"/>
        </w:rPr>
        <w:t xml:space="preserve">Nakanishi N, et al. Deficiency of ascorbic acid decreases the contents of tetrahydrobiopterin in the liver and brain of ODS rats. Neurosci Lett. 2019;715:134656. doi:10.1016/j.neulet.2019.134656</w:t>
      </w:r>
    </w:p>
    <w:p>
      <w:pPr>
        <w:spacing w:after="100" w:line="276"/>
        <w:ind w:left="720" w:hanging="720"/>
      </w:pPr>
      <w:r>
        <w:rPr>
          <w:rFonts w:ascii="Times New Roman" w:cs="Times New Roman" w:eastAsia="Times New Roman" w:hAnsi="Times New Roman"/>
          <w:sz w:val="20"/>
          <w:szCs w:val="20"/>
        </w:rPr>
        <w:t xml:space="preserve">New AS, Hazlett EA, Buchsbaum MS, et al. Amygdala-prefrontal disconnection in borderline personality disorder. Neuropsychopharmacology. 2007;32(7):1629–1640. doi:10.1038/sj.npp.1301283</w:t>
      </w:r>
    </w:p>
    <w:p>
      <w:pPr>
        <w:spacing w:after="100" w:line="276"/>
        <w:ind w:left="720" w:hanging="720"/>
      </w:pPr>
      <w:r>
        <w:rPr>
          <w:rFonts w:ascii="Times New Roman" w:cs="Times New Roman" w:eastAsia="Times New Roman" w:hAnsi="Times New Roman"/>
          <w:sz w:val="20"/>
          <w:szCs w:val="20"/>
        </w:rPr>
        <w:t xml:space="preserve">Paris J. Suicidality in borderline personality disorder. Medicina (Kaunas). 2019;55(6):223. doi:10.3390/medicina55060223</w:t>
      </w:r>
    </w:p>
    <w:p>
      <w:pPr>
        <w:spacing w:after="100" w:line="276"/>
        <w:ind w:left="720" w:hanging="720"/>
      </w:pPr>
      <w:r>
        <w:rPr>
          <w:rFonts w:ascii="Times New Roman" w:cs="Times New Roman" w:eastAsia="Times New Roman" w:hAnsi="Times New Roman"/>
          <w:sz w:val="20"/>
          <w:szCs w:val="20"/>
        </w:rPr>
        <w:t xml:space="preserve">Patton JH, Stanford MS, Barratt ES. Factor structure of the Barratt impulsiveness scale. J Clin Psychol. 1995;51(6):768–774. doi:10.1002/1097-4679(199511)51:6&lt;768::AID-JCLP2270510607&gt;3.0.CO;2-1</w:t>
      </w:r>
    </w:p>
    <w:p>
      <w:pPr>
        <w:spacing w:after="100" w:line="276"/>
        <w:ind w:left="720" w:hanging="720"/>
      </w:pPr>
      <w:r>
        <w:rPr>
          <w:rFonts w:ascii="Times New Roman" w:cs="Times New Roman" w:eastAsia="Times New Roman" w:hAnsi="Times New Roman"/>
          <w:sz w:val="20"/>
          <w:szCs w:val="20"/>
        </w:rPr>
        <w:t xml:space="preserve">Perez-Rodriguez MM, Weinstein S, New AS, et al. TPH2 haplotype association with borderline personality disorder and aggression. J Psychiatr Res. 2010;44(15):1075–1081. doi:10.1016/j.jpsychires.2010.04.014</w:t>
      </w:r>
    </w:p>
    <w:p>
      <w:pPr>
        <w:spacing w:after="100" w:line="276"/>
        <w:ind w:left="720" w:hanging="720"/>
      </w:pPr>
      <w:r>
        <w:rPr>
          <w:rFonts w:ascii="Times New Roman" w:cs="Times New Roman" w:eastAsia="Times New Roman" w:hAnsi="Times New Roman"/>
          <w:sz w:val="20"/>
          <w:szCs w:val="20"/>
        </w:rPr>
        <w:t xml:space="preserve">Philipsen A, Richter H, Schmahl C, et al. Clonidine in acute aversive inner tension and self-injurious behavior in female patients with borderline personality disorder. J Clin Psychiatry. 2004;65(10):1414–1419. doi:10.4088/JCP.v65n1018</w:t>
      </w:r>
    </w:p>
    <w:p>
      <w:pPr>
        <w:spacing w:after="100" w:line="276"/>
        <w:ind w:left="720" w:hanging="720"/>
      </w:pPr>
      <w:r>
        <w:rPr>
          <w:rFonts w:ascii="Times New Roman" w:cs="Times New Roman" w:eastAsia="Times New Roman" w:hAnsi="Times New Roman"/>
          <w:sz w:val="20"/>
          <w:szCs w:val="20"/>
        </w:rPr>
        <w:t xml:space="preserve">Plevin D, Galletly C. The neuropsychiatric effects of vitamin C deficiency: a systematic review. BMC Psychiatry. 2020;20(1):315. doi:10.1186/s12888-020-02730-w</w:t>
      </w:r>
    </w:p>
    <w:p>
      <w:pPr>
        <w:spacing w:after="100" w:line="276"/>
        <w:ind w:left="720" w:hanging="720"/>
      </w:pPr>
      <w:r>
        <w:rPr>
          <w:rFonts w:ascii="Times New Roman" w:cs="Times New Roman" w:eastAsia="Times New Roman" w:hAnsi="Times New Roman"/>
          <w:sz w:val="20"/>
          <w:szCs w:val="20"/>
        </w:rPr>
        <w:t xml:space="preserve">Sahraian A, Ghanizadeh A, Kazemi F. Vitamin C as an adjuvant for treating major depressive disorder and suicidal behavior. Trials. 2015;16:94. doi:10.1186/s13063-015-0609-1</w:t>
      </w:r>
    </w:p>
    <w:p>
      <w:pPr>
        <w:spacing w:after="100" w:line="276"/>
        <w:ind w:left="720" w:hanging="720"/>
      </w:pPr>
      <w:r>
        <w:rPr>
          <w:rFonts w:ascii="Times New Roman" w:cs="Times New Roman" w:eastAsia="Times New Roman" w:hAnsi="Times New Roman"/>
          <w:sz w:val="20"/>
          <w:szCs w:val="20"/>
        </w:rPr>
        <w:t xml:space="preserve">Schulze L, Schmahl C, Niedtfeld I. Neural correlates of disturbed emotion processing in borderline personality disorder: a multimodal meta-analysis. Biol Psychiatry. 2016;79(2):97–106. doi:10.1016/j.biopsych.2015.02.013</w:t>
      </w:r>
    </w:p>
    <w:p>
      <w:pPr>
        <w:spacing w:after="100" w:line="276"/>
        <w:ind w:left="720" w:hanging="720"/>
      </w:pPr>
      <w:r>
        <w:rPr>
          <w:rFonts w:ascii="Times New Roman" w:cs="Times New Roman" w:eastAsia="Times New Roman" w:hAnsi="Times New Roman"/>
          <w:sz w:val="20"/>
          <w:szCs w:val="20"/>
        </w:rPr>
        <w:t xml:space="preserve">Soloff PH, Meltzer CC, Greer PJ, et al. A fenfluramine-activated FDG-PET study of borderline personality disorder. Biol Psychiatry. 2000;47(6):540–547. doi:10.1016/S0006-3223(99)00202-4</w:t>
      </w:r>
    </w:p>
    <w:p>
      <w:pPr>
        <w:spacing w:after="100" w:line="276"/>
        <w:ind w:left="720" w:hanging="720"/>
      </w:pPr>
      <w:r>
        <w:rPr>
          <w:rFonts w:ascii="Times New Roman" w:cs="Times New Roman" w:eastAsia="Times New Roman" w:hAnsi="Times New Roman"/>
          <w:sz w:val="20"/>
          <w:szCs w:val="20"/>
        </w:rPr>
        <w:t xml:space="preserve">Storebø OJ, Stoffers-Winterling JM, Völlm BA, et al. Psychological therapies for people with borderline personality disorder. Cochrane Database Syst Rev. 2020;5:CD012955. doi:10.1002/14651858.CD012955.pub2</w:t>
      </w:r>
    </w:p>
    <w:p>
      <w:pPr>
        <w:spacing w:after="100" w:line="276"/>
        <w:ind w:left="720" w:hanging="720"/>
      </w:pPr>
      <w:r>
        <w:rPr>
          <w:rFonts w:ascii="Times New Roman" w:cs="Times New Roman" w:eastAsia="Times New Roman" w:hAnsi="Times New Roman"/>
          <w:sz w:val="20"/>
          <w:szCs w:val="20"/>
        </w:rPr>
        <w:t xml:space="preserve">Stoffers-Winterling JM, Storebø OJ, Kongerslev MT, et al. Pharmacological interventions for people with borderline personality disorder. Cochrane Database Syst Rev. 2022;11:CD012956. doi:10.1002/14651858.CD012956.pub2</w:t>
      </w:r>
    </w:p>
    <w:p>
      <w:pPr>
        <w:spacing w:after="100" w:line="276"/>
        <w:ind w:left="720" w:hanging="720"/>
      </w:pPr>
      <w:r>
        <w:rPr>
          <w:rFonts w:ascii="Times New Roman" w:cs="Times New Roman" w:eastAsia="Times New Roman" w:hAnsi="Times New Roman"/>
          <w:sz w:val="20"/>
          <w:szCs w:val="20"/>
        </w:rPr>
        <w:t xml:space="preserve">Tadić A, Victor A, Baskaya O, et al. Interaction between 5-HTTLPR and COMT in borderline personality disorder. Am J Med Genet B. 2009;150B(4):487–495. doi:10.1002/ajmg.b.30847</w:t>
      </w:r>
    </w:p>
    <w:p>
      <w:pPr>
        <w:spacing w:after="100" w:line="276"/>
        <w:ind w:left="720" w:hanging="720"/>
      </w:pPr>
      <w:r>
        <w:rPr>
          <w:rFonts w:ascii="Times New Roman" w:cs="Times New Roman" w:eastAsia="Times New Roman" w:hAnsi="Times New Roman"/>
          <w:sz w:val="20"/>
          <w:szCs w:val="20"/>
        </w:rPr>
        <w:t xml:space="preserve">Yosaee S, Clark CCT, Keshtkar A, et al. The effect of vitamin C supplementation on mood status in adults: a systematic review and meta-analysis. Gen Hosp Psychiatry. 2021;71:36–42. doi:10.1016/j.genhosppsych.2021.04.006</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400" w:after="200"/>
      <w:outlineLvl w:val="0"/>
    </w:pPr>
    <w:rPr>
      <w:rFonts w:ascii="Times New Roman" w:cs="Times New Roman" w:eastAsia="Times New Roman" w:hAnsi="Times New Roman"/>
      <w:b/>
      <w:bCs/>
      <w:sz w:val="32"/>
      <w:szCs w:val="32"/>
    </w:rPr>
  </w:style>
  <w:style w:type="paragraph" w:styleId="Heading2">
    <w:name w:val="Heading 2"/>
    <w:basedOn w:val="Normal"/>
    <w:next w:val="Normal"/>
    <w:qFormat/>
    <w:pPr>
      <w:spacing w:before="300" w:after="160"/>
      <w:outlineLvl w:val="1"/>
    </w:pPr>
    <w:rPr>
      <w:rFonts w:ascii="Times New Roman" w:cs="Times New Roman" w:eastAsia="Times New Roman" w:hAnsi="Times New Roman"/>
      <w:b/>
      <w:bCs/>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2026-03-22T08:54:14.475Z</dcterms:created>
  <dcterms:modified xsi:type="dcterms:W3CDTF">2026-03-22T08:54:14.476Z</dcterms:modified>
</cp:coreProperties>
</file>

<file path=docProps/custom.xml><?xml version="1.0" encoding="utf-8"?>
<Properties xmlns="http://schemas.openxmlformats.org/officeDocument/2006/custom-properties" xmlns:vt="http://schemas.openxmlformats.org/officeDocument/2006/docPropsVTypes"/>
</file>